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1DE1" w14:textId="77777777" w:rsidR="0095390B" w:rsidRDefault="0095390B" w:rsidP="0095390B">
      <w:pPr>
        <w:spacing w:before="0" w:after="240" w:line="276" w:lineRule="auto"/>
        <w:jc w:val="center"/>
        <w:rPr>
          <w:rFonts w:ascii="Arial" w:hAnsi="Arial" w:cs="Arial"/>
          <w:b/>
          <w:caps/>
          <w:szCs w:val="24"/>
          <w:lang w:val="fr-FR"/>
        </w:rPr>
      </w:pPr>
    </w:p>
    <w:p w14:paraId="15C82A9D" w14:textId="71A6349E" w:rsidR="00D40632" w:rsidRPr="00A93A59" w:rsidRDefault="00F0367F" w:rsidP="0095390B">
      <w:pPr>
        <w:spacing w:before="0" w:after="240" w:line="276" w:lineRule="auto"/>
        <w:jc w:val="center"/>
        <w:rPr>
          <w:rFonts w:ascii="Arial" w:hAnsi="Arial" w:cs="Arial"/>
          <w:b/>
          <w:caps/>
          <w:szCs w:val="24"/>
          <w:lang w:val="fr-FR"/>
        </w:rPr>
      </w:pPr>
      <w:r w:rsidRPr="00F0367F">
        <w:rPr>
          <w:rFonts w:ascii="Arial" w:hAnsi="Arial" w:cs="Arial"/>
          <w:b/>
          <w:caps/>
          <w:szCs w:val="24"/>
          <w:lang w:val="fr-FR"/>
        </w:rPr>
        <w:t xml:space="preserve">Avis de passation </w:t>
      </w:r>
      <w:r w:rsidR="00BF26FC">
        <w:rPr>
          <w:rFonts w:ascii="Arial" w:hAnsi="Arial" w:cs="Arial"/>
          <w:b/>
          <w:caps/>
          <w:szCs w:val="24"/>
          <w:lang w:val="fr-FR"/>
        </w:rPr>
        <w:t>de marchés</w:t>
      </w:r>
      <w:r w:rsidRPr="00F0367F">
        <w:rPr>
          <w:rFonts w:ascii="Arial" w:hAnsi="Arial" w:cs="Arial"/>
          <w:b/>
          <w:caps/>
          <w:szCs w:val="24"/>
          <w:lang w:val="fr-FR"/>
        </w:rPr>
        <w:t xml:space="preserve"> relatif à l</w:t>
      </w:r>
      <w:r w:rsidR="00637846">
        <w:rPr>
          <w:rFonts w:ascii="Arial" w:hAnsi="Arial" w:cs="Arial"/>
          <w:b/>
          <w:caps/>
          <w:szCs w:val="24"/>
          <w:lang w:val="fr-FR"/>
        </w:rPr>
        <w:t>’</w:t>
      </w:r>
      <w:r w:rsidRPr="00F0367F">
        <w:rPr>
          <w:rFonts w:ascii="Arial" w:hAnsi="Arial" w:cs="Arial"/>
          <w:b/>
          <w:caps/>
          <w:szCs w:val="24"/>
          <w:lang w:val="fr-FR"/>
        </w:rPr>
        <w:t>Accord-cadre</w:t>
      </w:r>
      <w:r w:rsidR="00BD3B1A">
        <w:rPr>
          <w:rFonts w:ascii="Arial" w:hAnsi="Arial" w:cs="Arial"/>
          <w:b/>
          <w:caps/>
          <w:szCs w:val="24"/>
          <w:lang w:val="fr-FR"/>
        </w:rPr>
        <w:br/>
      </w:r>
      <w:r w:rsidR="00C23E6D" w:rsidRPr="00A93A59">
        <w:rPr>
          <w:rFonts w:ascii="Arial" w:hAnsi="Arial" w:cs="Arial"/>
          <w:b/>
          <w:szCs w:val="24"/>
          <w:lang w:val="fr-FR"/>
        </w:rPr>
        <w:t>« </w:t>
      </w:r>
      <w:r w:rsidR="005E5605" w:rsidRPr="00A93A59">
        <w:rPr>
          <w:rFonts w:ascii="Arial" w:hAnsi="Arial" w:cs="Arial"/>
          <w:b/>
          <w:szCs w:val="24"/>
          <w:lang w:val="fr-FR"/>
        </w:rPr>
        <w:t>PANEL A</w:t>
      </w:r>
      <w:r w:rsidR="00C23E6D" w:rsidRPr="00A93A59">
        <w:rPr>
          <w:rFonts w:ascii="Arial" w:hAnsi="Arial" w:cs="Arial"/>
          <w:b/>
          <w:szCs w:val="24"/>
          <w:lang w:val="fr-FR"/>
        </w:rPr>
        <w:t> »</w:t>
      </w:r>
    </w:p>
    <w:p w14:paraId="3B1795C3" w14:textId="3E6EA140" w:rsidR="00D40632" w:rsidRPr="00A93A59" w:rsidRDefault="00DD5A80" w:rsidP="006E1B13">
      <w:pPr>
        <w:numPr>
          <w:ilvl w:val="0"/>
          <w:numId w:val="16"/>
        </w:numPr>
        <w:spacing w:before="0" w:after="240" w:line="276" w:lineRule="auto"/>
        <w:jc w:val="both"/>
        <w:outlineLvl w:val="0"/>
        <w:rPr>
          <w:rFonts w:ascii="Arial" w:hAnsi="Arial" w:cs="Arial"/>
          <w:szCs w:val="24"/>
          <w:lang w:val="fr-FR"/>
        </w:rPr>
      </w:pPr>
      <w:r w:rsidRPr="00A93A59">
        <w:rPr>
          <w:rStyle w:val="lev"/>
          <w:rFonts w:ascii="Arial" w:hAnsi="Arial" w:cs="Arial"/>
          <w:szCs w:val="24"/>
          <w:lang w:val="fr-FR"/>
        </w:rPr>
        <w:t xml:space="preserve">Référence de </w:t>
      </w:r>
      <w:r w:rsidR="003D3DF3" w:rsidRPr="00A93A59">
        <w:rPr>
          <w:rStyle w:val="lev"/>
          <w:rFonts w:ascii="Arial" w:hAnsi="Arial" w:cs="Arial"/>
          <w:szCs w:val="24"/>
          <w:lang w:val="fr-FR"/>
        </w:rPr>
        <w:t xml:space="preserve">la </w:t>
      </w:r>
      <w:r w:rsidRPr="00A93A59">
        <w:rPr>
          <w:rStyle w:val="lev"/>
          <w:rFonts w:ascii="Arial" w:hAnsi="Arial" w:cs="Arial"/>
          <w:szCs w:val="24"/>
          <w:lang w:val="fr-FR"/>
        </w:rPr>
        <w:t>publication</w:t>
      </w:r>
      <w:r w:rsidR="00813A8C" w:rsidRPr="00A93A59">
        <w:rPr>
          <w:rStyle w:val="lev"/>
          <w:rFonts w:ascii="Arial" w:hAnsi="Arial" w:cs="Arial"/>
          <w:szCs w:val="24"/>
          <w:lang w:val="fr-FR"/>
        </w:rPr>
        <w:t> :</w:t>
      </w:r>
      <w:r w:rsidR="00057498" w:rsidRPr="00A93A59">
        <w:rPr>
          <w:rFonts w:ascii="Arial" w:hAnsi="Arial" w:cs="Arial"/>
          <w:szCs w:val="24"/>
          <w:lang w:val="fr-FR"/>
        </w:rPr>
        <w:t xml:space="preserve"> </w:t>
      </w:r>
      <w:r w:rsidR="00A93A59" w:rsidRPr="00A93A59">
        <w:rPr>
          <w:rFonts w:ascii="Arial" w:hAnsi="Arial" w:cs="Arial"/>
          <w:bCs/>
          <w:szCs w:val="24"/>
          <w:lang w:val="fr-FR"/>
        </w:rPr>
        <w:t>ALSF/P/2023/PCLMV/307</w:t>
      </w:r>
      <w:r w:rsidR="00F95747">
        <w:rPr>
          <w:rFonts w:ascii="Arial" w:hAnsi="Arial" w:cs="Arial"/>
          <w:bCs/>
          <w:szCs w:val="24"/>
          <w:lang w:val="fr-FR"/>
        </w:rPr>
        <w:t>/FR</w:t>
      </w:r>
    </w:p>
    <w:p w14:paraId="12D933AF" w14:textId="737497FB" w:rsidR="00D40632" w:rsidRPr="006E1B13" w:rsidRDefault="00DD5A80" w:rsidP="006E1B13">
      <w:pPr>
        <w:numPr>
          <w:ilvl w:val="0"/>
          <w:numId w:val="16"/>
        </w:numPr>
        <w:spacing w:before="0" w:after="240" w:line="276" w:lineRule="auto"/>
        <w:jc w:val="both"/>
        <w:outlineLvl w:val="0"/>
        <w:rPr>
          <w:rFonts w:ascii="Arial" w:hAnsi="Arial" w:cs="Arial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Procédure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</w:t>
      </w:r>
      <w:r w:rsidR="00055C83" w:rsidRPr="006E1B13">
        <w:rPr>
          <w:rStyle w:val="lev"/>
          <w:rFonts w:ascii="Arial" w:hAnsi="Arial" w:cs="Arial"/>
          <w:b w:val="0"/>
          <w:szCs w:val="24"/>
          <w:lang w:val="fr-FR"/>
        </w:rPr>
        <w:t>:</w:t>
      </w:r>
      <w:r w:rsidRPr="006E1B13">
        <w:rPr>
          <w:rStyle w:val="lev"/>
          <w:rFonts w:ascii="Arial" w:hAnsi="Arial" w:cs="Arial"/>
          <w:b w:val="0"/>
          <w:szCs w:val="24"/>
          <w:lang w:val="fr-FR"/>
        </w:rPr>
        <w:t xml:space="preserve"> </w:t>
      </w:r>
      <w:r w:rsidR="00F0367F">
        <w:rPr>
          <w:rStyle w:val="lev"/>
          <w:rFonts w:ascii="Arial" w:hAnsi="Arial" w:cs="Arial"/>
          <w:b w:val="0"/>
          <w:szCs w:val="24"/>
          <w:lang w:val="fr-FR"/>
        </w:rPr>
        <w:t xml:space="preserve">Renouvellement de </w:t>
      </w:r>
      <w:r w:rsidR="00F0367F" w:rsidRPr="00F0367F">
        <w:rPr>
          <w:rFonts w:ascii="Arial" w:hAnsi="Arial" w:cs="Arial"/>
          <w:szCs w:val="24"/>
          <w:lang w:val="fr-FR"/>
        </w:rPr>
        <w:t>l</w:t>
      </w:r>
      <w:r w:rsidR="00637846">
        <w:rPr>
          <w:rFonts w:ascii="Arial" w:hAnsi="Arial" w:cs="Arial"/>
          <w:szCs w:val="24"/>
          <w:lang w:val="fr-FR"/>
        </w:rPr>
        <w:t>’</w:t>
      </w:r>
      <w:r w:rsidR="00F0367F" w:rsidRPr="00F0367F">
        <w:rPr>
          <w:rFonts w:ascii="Arial" w:hAnsi="Arial" w:cs="Arial"/>
          <w:szCs w:val="24"/>
          <w:lang w:val="fr-FR"/>
        </w:rPr>
        <w:t xml:space="preserve">Accord-cadre </w:t>
      </w:r>
    </w:p>
    <w:p w14:paraId="31A06BE2" w14:textId="77777777" w:rsidR="00950000" w:rsidRPr="006E1B13" w:rsidRDefault="00DD5A80" w:rsidP="006E1B13">
      <w:pPr>
        <w:numPr>
          <w:ilvl w:val="0"/>
          <w:numId w:val="16"/>
        </w:numPr>
        <w:spacing w:before="0" w:after="240" w:line="276" w:lineRule="auto"/>
        <w:jc w:val="both"/>
        <w:outlineLvl w:val="0"/>
        <w:rPr>
          <w:rFonts w:ascii="Arial" w:hAnsi="Arial" w:cs="Arial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Description du programme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:</w:t>
      </w:r>
    </w:p>
    <w:p w14:paraId="25352E00" w14:textId="4DFB3B5C" w:rsidR="00900626" w:rsidRPr="00F0367F" w:rsidRDefault="00DD5A80" w:rsidP="006E1B13">
      <w:pPr>
        <w:spacing w:before="0" w:after="240" w:line="276" w:lineRule="auto"/>
        <w:ind w:left="709"/>
        <w:jc w:val="both"/>
        <w:outlineLvl w:val="0"/>
        <w:rPr>
          <w:rFonts w:ascii="Arial" w:hAnsi="Arial" w:cs="Arial"/>
          <w:bCs/>
          <w:szCs w:val="24"/>
          <w:lang w:val="fr-FR"/>
        </w:rPr>
      </w:pPr>
      <w:r w:rsidRPr="00BD3B1A">
        <w:rPr>
          <w:rFonts w:ascii="Arial" w:hAnsi="Arial" w:cs="Arial"/>
          <w:bCs/>
          <w:szCs w:val="24"/>
          <w:lang w:val="fr-FR"/>
        </w:rPr>
        <w:t>L</w:t>
      </w:r>
      <w:r w:rsidR="00637846">
        <w:rPr>
          <w:rFonts w:ascii="Arial" w:hAnsi="Arial" w:cs="Arial"/>
          <w:bCs/>
          <w:szCs w:val="24"/>
          <w:lang w:val="fr-FR"/>
        </w:rPr>
        <w:t>’</w:t>
      </w:r>
      <w:r w:rsidRPr="00BD3B1A">
        <w:rPr>
          <w:rFonts w:ascii="Arial" w:hAnsi="Arial" w:cs="Arial"/>
          <w:bCs/>
          <w:szCs w:val="24"/>
          <w:lang w:val="fr-FR"/>
        </w:rPr>
        <w:t xml:space="preserve">ALSF </w:t>
      </w:r>
      <w:r w:rsidR="00F0367F">
        <w:rPr>
          <w:rFonts w:ascii="Arial" w:hAnsi="Arial" w:cs="Arial"/>
          <w:bCs/>
          <w:szCs w:val="24"/>
          <w:lang w:val="fr-FR"/>
        </w:rPr>
        <w:t xml:space="preserve">dispose de </w:t>
      </w:r>
      <w:r w:rsidRPr="00BD3B1A">
        <w:rPr>
          <w:rFonts w:ascii="Arial" w:hAnsi="Arial" w:cs="Arial"/>
          <w:bCs/>
          <w:szCs w:val="24"/>
          <w:lang w:val="fr-FR"/>
        </w:rPr>
        <w:t xml:space="preserve">deux </w:t>
      </w:r>
      <w:r w:rsidR="00813A8C" w:rsidRPr="00BD3B1A">
        <w:rPr>
          <w:rFonts w:ascii="Arial" w:hAnsi="Arial" w:cs="Arial"/>
          <w:bCs/>
          <w:szCs w:val="24"/>
          <w:lang w:val="fr-FR"/>
        </w:rPr>
        <w:t xml:space="preserve">panels </w:t>
      </w:r>
      <w:r w:rsidR="007E0E29" w:rsidRPr="00BD3B1A">
        <w:rPr>
          <w:rFonts w:ascii="Arial" w:hAnsi="Arial" w:cs="Arial"/>
          <w:bCs/>
          <w:szCs w:val="24"/>
          <w:lang w:val="fr-FR"/>
        </w:rPr>
        <w:t>distincts, à savoir</w:t>
      </w:r>
      <w:r w:rsidR="00F0367F">
        <w:rPr>
          <w:rFonts w:ascii="Arial" w:hAnsi="Arial" w:cs="Arial"/>
          <w:bCs/>
          <w:szCs w:val="24"/>
          <w:lang w:val="fr-FR"/>
        </w:rPr>
        <w:t> </w:t>
      </w:r>
      <w:r w:rsidR="00900626" w:rsidRPr="00BD3B1A">
        <w:rPr>
          <w:rFonts w:ascii="Arial" w:hAnsi="Arial" w:cs="Arial"/>
          <w:bCs/>
          <w:szCs w:val="24"/>
          <w:lang w:val="fr-FR"/>
        </w:rPr>
        <w:t>:</w:t>
      </w:r>
    </w:p>
    <w:p w14:paraId="043281C2" w14:textId="62DEBB50" w:rsidR="00900626" w:rsidRPr="006E1B13" w:rsidRDefault="00637846" w:rsidP="006E1B13">
      <w:pPr>
        <w:pStyle w:val="Sous-titre"/>
        <w:numPr>
          <w:ilvl w:val="0"/>
          <w:numId w:val="17"/>
        </w:numPr>
        <w:spacing w:after="240" w:line="276" w:lineRule="auto"/>
        <w:ind w:left="993" w:hanging="284"/>
        <w:jc w:val="both"/>
        <w:rPr>
          <w:rFonts w:ascii="Arial" w:hAnsi="Arial" w:cs="Arial"/>
          <w:b w:val="0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Pr="006E1B13">
        <w:rPr>
          <w:rFonts w:ascii="Arial" w:hAnsi="Arial" w:cs="Arial"/>
          <w:sz w:val="24"/>
          <w:szCs w:val="24"/>
          <w:lang w:val="fr-FR"/>
        </w:rPr>
        <w:t xml:space="preserve">e </w:t>
      </w:r>
      <w:r w:rsidR="00F26E2E" w:rsidRPr="006E1B13">
        <w:rPr>
          <w:rFonts w:ascii="Arial" w:hAnsi="Arial" w:cs="Arial"/>
          <w:sz w:val="24"/>
          <w:szCs w:val="24"/>
          <w:lang w:val="fr-FR"/>
        </w:rPr>
        <w:t>« </w:t>
      </w:r>
      <w:r w:rsidR="005E5605" w:rsidRPr="006E1B13">
        <w:rPr>
          <w:rFonts w:ascii="Arial" w:hAnsi="Arial" w:cs="Arial"/>
          <w:sz w:val="24"/>
          <w:szCs w:val="24"/>
          <w:lang w:val="fr-FR"/>
        </w:rPr>
        <w:t>Panel A</w:t>
      </w:r>
      <w:r w:rsidR="00F26E2E" w:rsidRPr="006E1B13">
        <w:rPr>
          <w:rFonts w:ascii="Arial" w:hAnsi="Arial" w:cs="Arial"/>
          <w:sz w:val="24"/>
          <w:szCs w:val="24"/>
          <w:lang w:val="fr-FR"/>
        </w:rPr>
        <w:t> »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 xml:space="preserve"> : 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Panel de cabinets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 xml:space="preserve">avocats présélectionnés par </w:t>
      </w:r>
      <w:r w:rsidR="00122670">
        <w:rPr>
          <w:rFonts w:ascii="Arial" w:hAnsi="Arial" w:cs="Arial"/>
          <w:b w:val="0"/>
          <w:sz w:val="24"/>
          <w:szCs w:val="24"/>
          <w:lang w:val="fr-FR"/>
        </w:rPr>
        <w:t>appel d’offres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 xml:space="preserve"> et dotés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 xml:space="preserve">une expertise internationale. Ce </w:t>
      </w:r>
      <w:r w:rsidR="001F24B7">
        <w:rPr>
          <w:rFonts w:ascii="Arial" w:hAnsi="Arial" w:cs="Arial"/>
          <w:b w:val="0"/>
          <w:sz w:val="24"/>
          <w:szCs w:val="24"/>
          <w:lang w:val="fr-FR"/>
        </w:rPr>
        <w:t>P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anel est composé de cabinets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avocats disposant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une expertise internationale, de compétences techniques et de bons antécédents de travail en Afrique, qui sont principalement sélectionnés pour les projets de l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ALSF nécessitant une expertise internationale</w:t>
      </w:r>
      <w:r>
        <w:rPr>
          <w:rFonts w:ascii="Arial" w:hAnsi="Arial" w:cs="Arial"/>
          <w:b w:val="0"/>
          <w:sz w:val="24"/>
          <w:szCs w:val="24"/>
          <w:lang w:val="fr-FR"/>
        </w:rPr>
        <w:t>.</w:t>
      </w:r>
    </w:p>
    <w:p w14:paraId="20A89518" w14:textId="03E67282" w:rsidR="00900626" w:rsidRPr="006E1B13" w:rsidRDefault="00637846" w:rsidP="006E1B13">
      <w:pPr>
        <w:pStyle w:val="Sous-titre"/>
        <w:numPr>
          <w:ilvl w:val="0"/>
          <w:numId w:val="17"/>
        </w:numPr>
        <w:spacing w:after="240" w:line="276" w:lineRule="auto"/>
        <w:ind w:left="993" w:hanging="284"/>
        <w:jc w:val="both"/>
        <w:rPr>
          <w:rFonts w:ascii="Arial" w:hAnsi="Arial" w:cs="Arial"/>
          <w:b w:val="0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Pr="006E1B13">
        <w:rPr>
          <w:rFonts w:ascii="Arial" w:hAnsi="Arial" w:cs="Arial"/>
          <w:sz w:val="24"/>
          <w:szCs w:val="24"/>
          <w:lang w:val="fr-FR"/>
        </w:rPr>
        <w:t xml:space="preserve">e </w:t>
      </w:r>
      <w:r w:rsidR="00262C21" w:rsidRPr="006E1B13">
        <w:rPr>
          <w:rFonts w:ascii="Arial" w:hAnsi="Arial" w:cs="Arial"/>
          <w:sz w:val="24"/>
          <w:szCs w:val="24"/>
          <w:lang w:val="fr-FR"/>
        </w:rPr>
        <w:t>« </w:t>
      </w:r>
      <w:r w:rsidR="005E5605" w:rsidRPr="006E1B13">
        <w:rPr>
          <w:rFonts w:ascii="Arial" w:hAnsi="Arial" w:cs="Arial"/>
          <w:sz w:val="24"/>
          <w:szCs w:val="24"/>
          <w:lang w:val="fr-FR"/>
        </w:rPr>
        <w:t>Panel B</w:t>
      </w:r>
      <w:r w:rsidR="00262C21" w:rsidRPr="006E1B13">
        <w:rPr>
          <w:rFonts w:ascii="Arial" w:hAnsi="Arial" w:cs="Arial"/>
          <w:sz w:val="24"/>
          <w:szCs w:val="24"/>
          <w:lang w:val="fr-FR"/>
        </w:rPr>
        <w:t> »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 :</w:t>
      </w:r>
      <w:r w:rsidR="00F0367F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Panel de cabinets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 xml:space="preserve">avocats présélectionnés par appel </w:t>
      </w:r>
      <w:r w:rsidR="00122670">
        <w:rPr>
          <w:rFonts w:ascii="Arial" w:hAnsi="Arial" w:cs="Arial"/>
          <w:b w:val="0"/>
          <w:sz w:val="24"/>
          <w:szCs w:val="24"/>
          <w:lang w:val="fr-FR"/>
        </w:rPr>
        <w:t>d’offres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 xml:space="preserve"> et dotés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0367F" w:rsidRPr="00F0367F">
        <w:rPr>
          <w:rFonts w:ascii="Arial" w:hAnsi="Arial" w:cs="Arial"/>
          <w:b w:val="0"/>
          <w:sz w:val="24"/>
          <w:szCs w:val="24"/>
          <w:lang w:val="fr-FR"/>
        </w:rPr>
        <w:t>une expertise</w:t>
      </w:r>
      <w:r w:rsidR="00F0367F" w:rsidRPr="006E1B13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  <w:r w:rsidR="00F0367F">
        <w:rPr>
          <w:rFonts w:ascii="Arial" w:hAnsi="Arial" w:cs="Arial"/>
          <w:b w:val="0"/>
          <w:sz w:val="24"/>
          <w:szCs w:val="24"/>
          <w:lang w:val="fr-FR"/>
        </w:rPr>
        <w:t>dans les</w:t>
      </w:r>
      <w:r w:rsidR="00F0367F" w:rsidRPr="006E1B13">
        <w:rPr>
          <w:rFonts w:ascii="Arial" w:hAnsi="Arial" w:cs="Arial"/>
          <w:b w:val="0"/>
          <w:sz w:val="24"/>
          <w:szCs w:val="24"/>
          <w:lang w:val="fr-FR"/>
        </w:rPr>
        <w:t xml:space="preserve"> juridictions </w:t>
      </w:r>
      <w:r w:rsidR="00F0367F">
        <w:rPr>
          <w:rFonts w:ascii="Arial" w:hAnsi="Arial" w:cs="Arial"/>
          <w:b w:val="0"/>
          <w:sz w:val="24"/>
          <w:szCs w:val="24"/>
          <w:lang w:val="fr-FR"/>
        </w:rPr>
        <w:t xml:space="preserve">et régions </w:t>
      </w:r>
      <w:r w:rsidR="00F0367F" w:rsidRPr="006E1B13">
        <w:rPr>
          <w:rFonts w:ascii="Arial" w:hAnsi="Arial" w:cs="Arial"/>
          <w:b w:val="0"/>
          <w:sz w:val="24"/>
          <w:szCs w:val="24"/>
          <w:lang w:val="fr-FR"/>
        </w:rPr>
        <w:t>africaines</w:t>
      </w:r>
      <w:r w:rsidR="009821E9">
        <w:rPr>
          <w:rFonts w:ascii="Arial" w:hAnsi="Arial" w:cs="Arial"/>
          <w:b w:val="0"/>
          <w:sz w:val="24"/>
          <w:szCs w:val="24"/>
          <w:lang w:val="fr-FR"/>
        </w:rPr>
        <w:t xml:space="preserve">. </w:t>
      </w:r>
      <w:r w:rsidR="009821E9" w:rsidRPr="009821E9">
        <w:rPr>
          <w:rFonts w:ascii="Arial" w:hAnsi="Arial" w:cs="Arial"/>
          <w:b w:val="0"/>
          <w:sz w:val="24"/>
          <w:szCs w:val="24"/>
          <w:lang w:val="fr-FR"/>
        </w:rPr>
        <w:t>Seront pris en compte et sélectionnés en priorité les cabinets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9821E9" w:rsidRPr="009821E9">
        <w:rPr>
          <w:rFonts w:ascii="Arial" w:hAnsi="Arial" w:cs="Arial"/>
          <w:b w:val="0"/>
          <w:sz w:val="24"/>
          <w:szCs w:val="24"/>
          <w:lang w:val="fr-FR"/>
        </w:rPr>
        <w:t>avocats autorisés à exercer dans les juridictions africaines pour les projets de l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9821E9" w:rsidRPr="009821E9">
        <w:rPr>
          <w:rFonts w:ascii="Arial" w:hAnsi="Arial" w:cs="Arial"/>
          <w:b w:val="0"/>
          <w:sz w:val="24"/>
          <w:szCs w:val="24"/>
          <w:lang w:val="fr-FR"/>
        </w:rPr>
        <w:t>ALSF à réaliser dans leurs pays respectifs ou dans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9821E9" w:rsidRPr="009821E9">
        <w:rPr>
          <w:rFonts w:ascii="Arial" w:hAnsi="Arial" w:cs="Arial"/>
          <w:b w:val="0"/>
          <w:sz w:val="24"/>
          <w:szCs w:val="24"/>
          <w:lang w:val="fr-FR"/>
        </w:rPr>
        <w:t>autres juridictions pour lesquelles ils disposent d</w:t>
      </w:r>
      <w:r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9821E9" w:rsidRPr="009821E9">
        <w:rPr>
          <w:rFonts w:ascii="Arial" w:hAnsi="Arial" w:cs="Arial"/>
          <w:b w:val="0"/>
          <w:sz w:val="24"/>
          <w:szCs w:val="24"/>
          <w:lang w:val="fr-FR"/>
        </w:rPr>
        <w:t>une expertise appropriée.</w:t>
      </w:r>
    </w:p>
    <w:p w14:paraId="4E6391F7" w14:textId="7406ABFD" w:rsidR="009821E9" w:rsidRDefault="009821E9" w:rsidP="006E1B13">
      <w:pPr>
        <w:pStyle w:val="Sous-titre"/>
        <w:spacing w:after="240" w:line="276" w:lineRule="auto"/>
        <w:ind w:left="709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9821E9">
        <w:rPr>
          <w:rFonts w:ascii="Arial" w:hAnsi="Arial" w:cs="Arial"/>
          <w:b w:val="0"/>
          <w:sz w:val="24"/>
          <w:szCs w:val="24"/>
          <w:lang w:val="fr-FR"/>
        </w:rPr>
        <w:t>En prévision de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expiration de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Accord-cadre actuel des cabinets du Panel A, la Facilité africaine de soutien juridique (ALSF) lance une Demande </w:t>
      </w:r>
      <w:r w:rsidR="00534F0F">
        <w:rPr>
          <w:rFonts w:ascii="Arial" w:hAnsi="Arial" w:cs="Arial"/>
          <w:b w:val="0"/>
          <w:sz w:val="24"/>
          <w:szCs w:val="24"/>
          <w:lang w:val="fr-FR"/>
        </w:rPr>
        <w:t xml:space="preserve">globale 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de propositions (</w:t>
      </w:r>
      <w:proofErr w:type="spellStart"/>
      <w:r w:rsidRPr="009821E9">
        <w:rPr>
          <w:rFonts w:ascii="Arial" w:hAnsi="Arial" w:cs="Arial"/>
          <w:b w:val="0"/>
          <w:sz w:val="24"/>
          <w:szCs w:val="24"/>
          <w:lang w:val="fr-FR"/>
        </w:rPr>
        <w:t>DdP</w:t>
      </w:r>
      <w:proofErr w:type="spellEnd"/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) 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globale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 pour </w:t>
      </w:r>
      <w:r w:rsidR="0041219F">
        <w:rPr>
          <w:rFonts w:ascii="Arial" w:hAnsi="Arial" w:cs="Arial"/>
          <w:b w:val="0"/>
          <w:sz w:val="24"/>
          <w:szCs w:val="24"/>
          <w:lang w:val="fr-FR"/>
        </w:rPr>
        <w:t>la fourniture</w:t>
      </w:r>
      <w:r w:rsidR="001F24B7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de services juridiques.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Accord-cadre de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ALSF est un accord avec plusieurs prestataires de services. Les membres du Panel se verront confi</w:t>
      </w:r>
      <w:r w:rsidR="001F24B7">
        <w:rPr>
          <w:rFonts w:ascii="Arial" w:hAnsi="Arial" w:cs="Arial"/>
          <w:b w:val="0"/>
          <w:sz w:val="24"/>
          <w:szCs w:val="24"/>
          <w:lang w:val="fr-FR"/>
        </w:rPr>
        <w:t>és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 la fourniture de services juridiques </w:t>
      </w:r>
      <w:r w:rsidR="00E30808">
        <w:rPr>
          <w:rFonts w:ascii="Arial" w:hAnsi="Arial" w:cs="Arial"/>
          <w:b w:val="0"/>
          <w:sz w:val="24"/>
          <w:szCs w:val="24"/>
          <w:lang w:val="fr-FR"/>
        </w:rPr>
        <w:t>par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  <w:r w:rsidR="00E30808">
        <w:rPr>
          <w:rFonts w:ascii="Arial" w:hAnsi="Arial" w:cs="Arial"/>
          <w:b w:val="0"/>
          <w:sz w:val="24"/>
          <w:szCs w:val="24"/>
          <w:lang w:val="fr-FR"/>
        </w:rPr>
        <w:t>appel sur contrat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.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ALSF cherche à présélectionner </w:t>
      </w:r>
      <w:r w:rsidR="000B397B">
        <w:rPr>
          <w:rFonts w:ascii="Arial" w:hAnsi="Arial" w:cs="Arial"/>
          <w:b w:val="0"/>
          <w:sz w:val="24"/>
          <w:szCs w:val="24"/>
          <w:lang w:val="fr-FR"/>
        </w:rPr>
        <w:t>pour le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 xml:space="preserve"> Panel A des cabinets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avocats disposant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une expérience et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Pr="009821E9">
        <w:rPr>
          <w:rFonts w:ascii="Arial" w:hAnsi="Arial" w:cs="Arial"/>
          <w:b w:val="0"/>
          <w:sz w:val="24"/>
          <w:szCs w:val="24"/>
          <w:lang w:val="fr-FR"/>
        </w:rPr>
        <w:t>une expertise spécialisées.</w:t>
      </w:r>
    </w:p>
    <w:p w14:paraId="21B41CAE" w14:textId="0033AA1E" w:rsidR="00900626" w:rsidRDefault="00262C21" w:rsidP="006E1B13">
      <w:pPr>
        <w:pStyle w:val="Sous-titre"/>
        <w:spacing w:after="240" w:line="276" w:lineRule="auto"/>
        <w:ind w:left="709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Le « </w:t>
      </w:r>
      <w:r w:rsidR="005E5605" w:rsidRPr="006E1B13">
        <w:rPr>
          <w:rFonts w:ascii="Arial" w:hAnsi="Arial" w:cs="Arial"/>
          <w:sz w:val="24"/>
          <w:szCs w:val="24"/>
          <w:lang w:val="fr-FR"/>
        </w:rPr>
        <w:t>Panel A</w:t>
      </w:r>
      <w:r w:rsidRPr="006E1B13">
        <w:rPr>
          <w:rFonts w:ascii="Arial" w:hAnsi="Arial" w:cs="Arial"/>
          <w:sz w:val="24"/>
          <w:szCs w:val="24"/>
          <w:lang w:val="fr-FR"/>
        </w:rPr>
        <w:t> »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 xml:space="preserve"> se compos</w:t>
      </w:r>
      <w:r w:rsidR="009821E9">
        <w:rPr>
          <w:rFonts w:ascii="Arial" w:hAnsi="Arial" w:cs="Arial"/>
          <w:b w:val="0"/>
          <w:sz w:val="24"/>
          <w:szCs w:val="24"/>
          <w:lang w:val="fr-FR"/>
        </w:rPr>
        <w:t>e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 xml:space="preserve"> de cabinets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>avocats possédant une expertise et des compétences techniques internationales reconnues dans les secteurs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>activités de l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 xml:space="preserve">ALSF </w:t>
      </w:r>
      <w:r w:rsidRPr="006E1B13">
        <w:rPr>
          <w:rFonts w:ascii="Arial" w:hAnsi="Arial" w:cs="Arial"/>
          <w:b w:val="0"/>
          <w:sz w:val="24"/>
          <w:szCs w:val="24"/>
          <w:lang w:val="fr-FR"/>
        </w:rPr>
        <w:t xml:space="preserve">conformément aux 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l</w:t>
      </w:r>
      <w:r w:rsidR="00637846" w:rsidRPr="006E1B13">
        <w:rPr>
          <w:rFonts w:ascii="Arial" w:hAnsi="Arial" w:cs="Arial"/>
          <w:b w:val="0"/>
          <w:sz w:val="24"/>
          <w:szCs w:val="24"/>
          <w:lang w:val="fr-FR"/>
        </w:rPr>
        <w:t xml:space="preserve">ots </w:t>
      </w:r>
      <w:r w:rsidR="007D3FAA">
        <w:rPr>
          <w:rFonts w:ascii="Arial" w:hAnsi="Arial" w:cs="Arial"/>
          <w:b w:val="0"/>
          <w:sz w:val="24"/>
          <w:szCs w:val="24"/>
          <w:lang w:val="fr-FR"/>
        </w:rPr>
        <w:t>ci-après</w:t>
      </w:r>
      <w:r w:rsidR="00055C83" w:rsidRPr="006E1B13">
        <w:rPr>
          <w:rFonts w:ascii="Arial" w:hAnsi="Arial" w:cs="Arial"/>
          <w:b w:val="0"/>
          <w:sz w:val="24"/>
          <w:szCs w:val="24"/>
          <w:lang w:val="fr-FR"/>
        </w:rPr>
        <w:t> :</w:t>
      </w:r>
    </w:p>
    <w:p w14:paraId="5911E6D0" w14:textId="77777777" w:rsidR="00A93A59" w:rsidRPr="006E1B13" w:rsidRDefault="00A93A59" w:rsidP="00A93A59">
      <w:pPr>
        <w:pStyle w:val="Sous-titre"/>
        <w:spacing w:after="120" w:line="276" w:lineRule="auto"/>
        <w:ind w:left="709"/>
        <w:jc w:val="both"/>
        <w:rPr>
          <w:rFonts w:ascii="Arial" w:hAnsi="Arial" w:cs="Arial"/>
          <w:b w:val="0"/>
          <w:sz w:val="24"/>
          <w:szCs w:val="24"/>
          <w:lang w:val="fr-FR"/>
        </w:rPr>
      </w:pPr>
    </w:p>
    <w:p w14:paraId="15BD14DB" w14:textId="7269B76D" w:rsidR="00900626" w:rsidRPr="006E1B13" w:rsidRDefault="00900626" w:rsidP="00044157">
      <w:pPr>
        <w:pStyle w:val="Sous-titre"/>
        <w:numPr>
          <w:ilvl w:val="0"/>
          <w:numId w:val="18"/>
        </w:numPr>
        <w:spacing w:after="120" w:line="276" w:lineRule="auto"/>
        <w:ind w:left="994" w:hanging="288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LOT 1</w:t>
      </w:r>
      <w:r w:rsidR="00BA6FD9"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</w:t>
      </w:r>
      <w:r w:rsidR="00BA6FD9" w:rsidRPr="002B5FFD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="007D3FAA">
        <w:rPr>
          <w:rFonts w:ascii="Arial" w:hAnsi="Arial" w:cs="Arial"/>
          <w:b w:val="0"/>
          <w:sz w:val="24"/>
          <w:szCs w:val="24"/>
          <w:lang w:val="fr-FR"/>
        </w:rPr>
        <w:t>Finance publique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 ;</w:t>
      </w:r>
    </w:p>
    <w:p w14:paraId="11D5E0A4" w14:textId="7772F71D" w:rsidR="00900626" w:rsidRPr="006E1B13" w:rsidRDefault="00900626" w:rsidP="00044157">
      <w:pPr>
        <w:pStyle w:val="Sous-titre"/>
        <w:numPr>
          <w:ilvl w:val="0"/>
          <w:numId w:val="18"/>
        </w:numPr>
        <w:spacing w:after="120" w:line="276" w:lineRule="auto"/>
        <w:ind w:left="994" w:hanging="288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LOT 2</w:t>
      </w:r>
      <w:r w:rsidR="00BA6FD9" w:rsidRPr="00BA6FD9">
        <w:rPr>
          <w:rFonts w:ascii="Arial" w:hAnsi="Arial" w:cs="Arial"/>
          <w:b w:val="0"/>
          <w:sz w:val="24"/>
          <w:szCs w:val="24"/>
          <w:lang w:val="fr-CA"/>
        </w:rPr>
        <w:t xml:space="preserve"> - 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>Ressources naturelles et industries extractives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 ;</w:t>
      </w:r>
    </w:p>
    <w:p w14:paraId="5517A734" w14:textId="47E4C004" w:rsidR="00900626" w:rsidRPr="006E1B13" w:rsidRDefault="00900626" w:rsidP="00044157">
      <w:pPr>
        <w:pStyle w:val="Sous-titre"/>
        <w:numPr>
          <w:ilvl w:val="0"/>
          <w:numId w:val="18"/>
        </w:numPr>
        <w:spacing w:after="120" w:line="276" w:lineRule="auto"/>
        <w:ind w:left="994" w:hanging="288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LOT 3</w:t>
      </w:r>
      <w:r w:rsidR="00BA6FD9"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</w:t>
      </w:r>
      <w:r w:rsidR="00BA6FD9" w:rsidRPr="002B5FFD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="002606C3" w:rsidRPr="006E1B13">
        <w:rPr>
          <w:rFonts w:ascii="Arial" w:hAnsi="Arial" w:cs="Arial"/>
          <w:b w:val="0"/>
          <w:sz w:val="24"/>
          <w:szCs w:val="24"/>
          <w:lang w:val="fr-FR"/>
        </w:rPr>
        <w:t>É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>nergie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 ;</w:t>
      </w:r>
    </w:p>
    <w:p w14:paraId="07765581" w14:textId="0B8B5ABE" w:rsidR="00900626" w:rsidRPr="006E1B13" w:rsidRDefault="00900626" w:rsidP="00044157">
      <w:pPr>
        <w:pStyle w:val="Sous-titre"/>
        <w:numPr>
          <w:ilvl w:val="0"/>
          <w:numId w:val="18"/>
        </w:numPr>
        <w:spacing w:after="120" w:line="276" w:lineRule="auto"/>
        <w:ind w:left="994" w:hanging="288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LOT 4</w:t>
      </w:r>
      <w:r w:rsidR="00BA6FD9" w:rsidRPr="00BA6FD9">
        <w:rPr>
          <w:rFonts w:ascii="Arial" w:hAnsi="Arial" w:cs="Arial"/>
          <w:b w:val="0"/>
          <w:sz w:val="24"/>
          <w:szCs w:val="24"/>
          <w:lang w:val="fr-CA"/>
        </w:rPr>
        <w:t xml:space="preserve"> - </w:t>
      </w:r>
      <w:r w:rsidR="00262C21" w:rsidRPr="006E1B13">
        <w:rPr>
          <w:rFonts w:ascii="Arial" w:hAnsi="Arial" w:cs="Arial"/>
          <w:b w:val="0"/>
          <w:sz w:val="24"/>
          <w:szCs w:val="24"/>
          <w:lang w:val="fr-FR"/>
        </w:rPr>
        <w:t>Accords d</w:t>
      </w:r>
      <w:r w:rsidR="00637846">
        <w:rPr>
          <w:rFonts w:ascii="Arial" w:hAnsi="Arial" w:cs="Arial"/>
          <w:b w:val="0"/>
          <w:sz w:val="24"/>
          <w:szCs w:val="24"/>
          <w:lang w:val="fr-FR"/>
        </w:rPr>
        <w:t>’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 xml:space="preserve">investissement 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 xml:space="preserve">et </w:t>
      </w:r>
      <w:r w:rsidR="00262C21" w:rsidRPr="006E1B13">
        <w:rPr>
          <w:rFonts w:ascii="Arial" w:hAnsi="Arial" w:cs="Arial"/>
          <w:b w:val="0"/>
          <w:sz w:val="24"/>
          <w:szCs w:val="24"/>
          <w:lang w:val="fr-FR"/>
        </w:rPr>
        <w:t>transactions commerciales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 xml:space="preserve"> connexes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 ;</w:t>
      </w:r>
      <w:r w:rsidR="00BA6FD9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</w:p>
    <w:p w14:paraId="61BAE0A5" w14:textId="78ECFDC2" w:rsidR="00900626" w:rsidRPr="006E1B13" w:rsidRDefault="00900626" w:rsidP="00044157">
      <w:pPr>
        <w:pStyle w:val="Sous-titre"/>
        <w:numPr>
          <w:ilvl w:val="0"/>
          <w:numId w:val="18"/>
        </w:numPr>
        <w:spacing w:after="120" w:line="276" w:lineRule="auto"/>
        <w:ind w:left="994" w:hanging="288"/>
        <w:jc w:val="both"/>
        <w:rPr>
          <w:rFonts w:ascii="Arial" w:hAnsi="Arial" w:cs="Arial"/>
          <w:b w:val="0"/>
          <w:sz w:val="24"/>
          <w:szCs w:val="24"/>
          <w:lang w:val="fr-FR"/>
        </w:rPr>
      </w:pPr>
      <w:r w:rsidRPr="006E1B13">
        <w:rPr>
          <w:rFonts w:ascii="Arial" w:hAnsi="Arial" w:cs="Arial"/>
          <w:sz w:val="24"/>
          <w:szCs w:val="24"/>
          <w:lang w:val="fr-FR"/>
        </w:rPr>
        <w:t>LOT 5</w:t>
      </w:r>
      <w:r w:rsidR="00BA6FD9" w:rsidRPr="00C0631C">
        <w:rPr>
          <w:rFonts w:ascii="Arial" w:hAnsi="Arial" w:cs="Arial"/>
          <w:b w:val="0"/>
          <w:sz w:val="24"/>
          <w:szCs w:val="24"/>
          <w:lang w:val="en-GB"/>
        </w:rPr>
        <w:t xml:space="preserve"> -</w:t>
      </w:r>
      <w:r w:rsidR="00BA6FD9" w:rsidRPr="002B5FFD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="007D3FAA">
        <w:rPr>
          <w:rFonts w:ascii="Arial" w:hAnsi="Arial" w:cs="Arial"/>
          <w:b w:val="0"/>
          <w:sz w:val="24"/>
          <w:szCs w:val="24"/>
          <w:lang w:val="fr-FR"/>
        </w:rPr>
        <w:t>Infrastructure</w:t>
      </w:r>
      <w:r w:rsidR="00CB09EA">
        <w:rPr>
          <w:rFonts w:ascii="Arial" w:hAnsi="Arial" w:cs="Arial"/>
          <w:b w:val="0"/>
          <w:sz w:val="24"/>
          <w:szCs w:val="24"/>
          <w:lang w:val="fr-FR"/>
        </w:rPr>
        <w:t xml:space="preserve"> /</w:t>
      </w:r>
      <w:r w:rsidR="007D3FAA">
        <w:rPr>
          <w:rFonts w:ascii="Arial" w:hAnsi="Arial" w:cs="Arial"/>
          <w:b w:val="0"/>
          <w:sz w:val="24"/>
          <w:szCs w:val="24"/>
          <w:lang w:val="fr-FR"/>
        </w:rPr>
        <w:t xml:space="preserve"> </w:t>
      </w:r>
      <w:r w:rsidR="00DD5A80" w:rsidRPr="006E1B13">
        <w:rPr>
          <w:rFonts w:ascii="Arial" w:hAnsi="Arial" w:cs="Arial"/>
          <w:b w:val="0"/>
          <w:sz w:val="24"/>
          <w:szCs w:val="24"/>
          <w:lang w:val="fr-FR"/>
        </w:rPr>
        <w:t>PPP</w:t>
      </w:r>
      <w:r w:rsidR="00F26E2E" w:rsidRPr="006E1B13">
        <w:rPr>
          <w:rFonts w:ascii="Arial" w:hAnsi="Arial" w:cs="Arial"/>
          <w:b w:val="0"/>
          <w:sz w:val="24"/>
          <w:szCs w:val="24"/>
          <w:lang w:val="fr-FR"/>
        </w:rPr>
        <w:t>.</w:t>
      </w:r>
    </w:p>
    <w:p w14:paraId="59490F47" w14:textId="0D1B7433" w:rsidR="00D40632" w:rsidRPr="006E1B13" w:rsidRDefault="007D3FAA" w:rsidP="00044157">
      <w:pPr>
        <w:numPr>
          <w:ilvl w:val="0"/>
          <w:numId w:val="16"/>
        </w:numPr>
        <w:spacing w:before="0" w:after="120" w:line="276" w:lineRule="auto"/>
        <w:ind w:left="778" w:hanging="418"/>
        <w:jc w:val="both"/>
        <w:outlineLvl w:val="0"/>
        <w:rPr>
          <w:rFonts w:ascii="Arial" w:hAnsi="Arial" w:cs="Arial"/>
          <w:szCs w:val="24"/>
          <w:lang w:val="fr-FR"/>
        </w:rPr>
      </w:pPr>
      <w:r>
        <w:rPr>
          <w:rStyle w:val="lev"/>
          <w:rFonts w:ascii="Arial" w:hAnsi="Arial" w:cs="Arial"/>
          <w:szCs w:val="24"/>
          <w:lang w:val="fr-FR"/>
        </w:rPr>
        <w:t>Tarification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:</w:t>
      </w:r>
    </w:p>
    <w:p w14:paraId="62DC01DD" w14:textId="71458FF9" w:rsidR="00D40632" w:rsidRPr="006E1B13" w:rsidRDefault="00DD5A80" w:rsidP="00044157">
      <w:pPr>
        <w:pStyle w:val="Blockquote"/>
        <w:spacing w:before="0" w:after="120" w:line="276" w:lineRule="auto"/>
        <w:ind w:left="720"/>
        <w:jc w:val="both"/>
        <w:rPr>
          <w:rFonts w:ascii="Arial" w:hAnsi="Arial" w:cs="Arial"/>
          <w:szCs w:val="24"/>
          <w:lang w:val="fr-FR"/>
        </w:rPr>
      </w:pPr>
      <w:r w:rsidRPr="006E1B13">
        <w:rPr>
          <w:rFonts w:ascii="Arial" w:hAnsi="Arial" w:cs="Arial"/>
          <w:szCs w:val="24"/>
          <w:lang w:val="fr-FR"/>
        </w:rPr>
        <w:t>L</w:t>
      </w:r>
      <w:r w:rsidR="00637846">
        <w:rPr>
          <w:rFonts w:ascii="Arial" w:hAnsi="Arial" w:cs="Arial"/>
          <w:szCs w:val="24"/>
          <w:lang w:val="fr-FR"/>
        </w:rPr>
        <w:t>’</w:t>
      </w:r>
      <w:r w:rsidR="00262C21" w:rsidRPr="006E1B13">
        <w:rPr>
          <w:rFonts w:ascii="Arial" w:hAnsi="Arial" w:cs="Arial"/>
          <w:szCs w:val="24"/>
          <w:lang w:val="fr-FR"/>
        </w:rPr>
        <w:t>A</w:t>
      </w:r>
      <w:r w:rsidRPr="006E1B13">
        <w:rPr>
          <w:rFonts w:ascii="Arial" w:hAnsi="Arial" w:cs="Arial"/>
          <w:szCs w:val="24"/>
          <w:lang w:val="fr-FR"/>
        </w:rPr>
        <w:t>ccord-cadre ne prévoit pas de montant contractuel global</w:t>
      </w:r>
      <w:r w:rsidR="007D3FAA">
        <w:rPr>
          <w:rFonts w:ascii="Arial" w:hAnsi="Arial" w:cs="Arial"/>
          <w:szCs w:val="24"/>
          <w:lang w:val="fr-FR"/>
        </w:rPr>
        <w:t>,</w:t>
      </w:r>
      <w:r w:rsidRPr="006E1B13">
        <w:rPr>
          <w:rFonts w:ascii="Arial" w:hAnsi="Arial" w:cs="Arial"/>
          <w:szCs w:val="24"/>
          <w:lang w:val="fr-FR"/>
        </w:rPr>
        <w:t xml:space="preserve"> ni de budget maximal.</w:t>
      </w:r>
    </w:p>
    <w:p w14:paraId="2D406AC8" w14:textId="0BA4D68F" w:rsidR="00900626" w:rsidRPr="006E1B13" w:rsidRDefault="00F26E2E" w:rsidP="00044157">
      <w:pPr>
        <w:numPr>
          <w:ilvl w:val="0"/>
          <w:numId w:val="16"/>
        </w:numPr>
        <w:spacing w:before="0" w:after="120" w:line="276" w:lineRule="auto"/>
        <w:ind w:left="778" w:hanging="418"/>
        <w:jc w:val="both"/>
        <w:outlineLvl w:val="0"/>
        <w:rPr>
          <w:rStyle w:val="lev"/>
          <w:rFonts w:ascii="Arial" w:hAnsi="Arial" w:cs="Arial"/>
          <w:b w:val="0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Durée de l</w:t>
      </w:r>
      <w:r w:rsidR="00637846">
        <w:rPr>
          <w:rStyle w:val="lev"/>
          <w:rFonts w:ascii="Arial" w:hAnsi="Arial" w:cs="Arial"/>
          <w:szCs w:val="24"/>
          <w:lang w:val="fr-FR"/>
        </w:rPr>
        <w:t>’</w:t>
      </w:r>
      <w:r w:rsidRPr="006E1B13">
        <w:rPr>
          <w:rStyle w:val="lev"/>
          <w:rFonts w:ascii="Arial" w:hAnsi="Arial" w:cs="Arial"/>
          <w:szCs w:val="24"/>
          <w:lang w:val="fr-FR"/>
        </w:rPr>
        <w:t>A</w:t>
      </w:r>
      <w:r w:rsidR="00262C21" w:rsidRPr="006E1B13">
        <w:rPr>
          <w:rStyle w:val="lev"/>
          <w:rFonts w:ascii="Arial" w:hAnsi="Arial" w:cs="Arial"/>
          <w:szCs w:val="24"/>
          <w:lang w:val="fr-FR"/>
        </w:rPr>
        <w:t>ccord-cadre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:</w:t>
      </w:r>
      <w:r w:rsidR="00900626" w:rsidRPr="006E1B13">
        <w:rPr>
          <w:rStyle w:val="lev"/>
          <w:rFonts w:ascii="Arial" w:hAnsi="Arial" w:cs="Arial"/>
          <w:szCs w:val="24"/>
          <w:lang w:val="fr-FR"/>
        </w:rPr>
        <w:t xml:space="preserve"> </w:t>
      </w:r>
      <w:r w:rsidR="00900626" w:rsidRPr="006E1B13">
        <w:rPr>
          <w:rStyle w:val="lev"/>
          <w:rFonts w:ascii="Arial" w:hAnsi="Arial" w:cs="Arial"/>
          <w:b w:val="0"/>
          <w:szCs w:val="24"/>
          <w:lang w:val="fr-FR"/>
        </w:rPr>
        <w:t>36</w:t>
      </w:r>
      <w:r w:rsidR="00096EFB">
        <w:rPr>
          <w:rStyle w:val="lev"/>
          <w:rFonts w:ascii="Arial" w:hAnsi="Arial" w:cs="Arial"/>
          <w:b w:val="0"/>
          <w:szCs w:val="24"/>
          <w:lang w:val="fr-FR"/>
        </w:rPr>
        <w:t> mois</w:t>
      </w:r>
      <w:r w:rsidR="00A5647D" w:rsidRPr="006E1B13">
        <w:rPr>
          <w:rStyle w:val="lev"/>
          <w:rFonts w:ascii="Arial" w:hAnsi="Arial" w:cs="Arial"/>
          <w:b w:val="0"/>
          <w:szCs w:val="24"/>
          <w:lang w:val="fr-FR"/>
        </w:rPr>
        <w:t xml:space="preserve"> </w:t>
      </w:r>
      <w:r w:rsidR="007D3FAA">
        <w:rPr>
          <w:rStyle w:val="lev"/>
          <w:rFonts w:ascii="Arial" w:hAnsi="Arial" w:cs="Arial"/>
          <w:b w:val="0"/>
          <w:szCs w:val="24"/>
          <w:lang w:val="fr-FR"/>
        </w:rPr>
        <w:t>(</w:t>
      </w:r>
      <w:r w:rsidR="00A5647D" w:rsidRPr="006E1B13">
        <w:rPr>
          <w:rStyle w:val="lev"/>
          <w:rFonts w:ascii="Arial" w:hAnsi="Arial" w:cs="Arial"/>
          <w:b w:val="0"/>
          <w:szCs w:val="24"/>
          <w:lang w:val="fr-FR"/>
        </w:rPr>
        <w:t xml:space="preserve">avec </w:t>
      </w:r>
      <w:r w:rsidR="00CD1DB6" w:rsidRPr="006E1B13">
        <w:rPr>
          <w:rStyle w:val="lev"/>
          <w:rFonts w:ascii="Arial" w:hAnsi="Arial" w:cs="Arial"/>
          <w:b w:val="0"/>
          <w:szCs w:val="24"/>
          <w:lang w:val="fr-FR"/>
        </w:rPr>
        <w:t>possibilité</w:t>
      </w:r>
      <w:r w:rsidR="00A5647D" w:rsidRPr="006E1B13">
        <w:rPr>
          <w:rStyle w:val="lev"/>
          <w:rFonts w:ascii="Arial" w:hAnsi="Arial" w:cs="Arial"/>
          <w:b w:val="0"/>
          <w:szCs w:val="24"/>
          <w:lang w:val="fr-FR"/>
        </w:rPr>
        <w:t xml:space="preserve"> d</w:t>
      </w:r>
      <w:r w:rsidR="00637846">
        <w:rPr>
          <w:rStyle w:val="lev"/>
          <w:rFonts w:ascii="Arial" w:hAnsi="Arial" w:cs="Arial"/>
          <w:b w:val="0"/>
          <w:szCs w:val="24"/>
          <w:lang w:val="fr-FR"/>
        </w:rPr>
        <w:t>’</w:t>
      </w:r>
      <w:r w:rsidR="00A5647D" w:rsidRPr="006E1B13">
        <w:rPr>
          <w:rStyle w:val="lev"/>
          <w:rFonts w:ascii="Arial" w:hAnsi="Arial" w:cs="Arial"/>
          <w:b w:val="0"/>
          <w:szCs w:val="24"/>
          <w:lang w:val="fr-FR"/>
        </w:rPr>
        <w:t>extension de 12</w:t>
      </w:r>
      <w:r w:rsidR="00096EFB">
        <w:rPr>
          <w:rStyle w:val="lev"/>
          <w:rFonts w:ascii="Arial" w:hAnsi="Arial" w:cs="Arial"/>
          <w:b w:val="0"/>
          <w:szCs w:val="24"/>
          <w:lang w:val="fr-FR"/>
        </w:rPr>
        <w:t> mois</w:t>
      </w:r>
      <w:r w:rsidR="007D3FAA">
        <w:rPr>
          <w:rStyle w:val="lev"/>
          <w:rFonts w:ascii="Arial" w:hAnsi="Arial" w:cs="Arial"/>
          <w:b w:val="0"/>
          <w:szCs w:val="24"/>
          <w:lang w:val="fr-FR"/>
        </w:rPr>
        <w:t>)</w:t>
      </w:r>
      <w:r w:rsidR="00A5647D" w:rsidRPr="006E1B13">
        <w:rPr>
          <w:rStyle w:val="lev"/>
          <w:rFonts w:ascii="Arial" w:hAnsi="Arial" w:cs="Arial"/>
          <w:b w:val="0"/>
          <w:szCs w:val="24"/>
          <w:lang w:val="fr-FR"/>
        </w:rPr>
        <w:t>.</w:t>
      </w:r>
    </w:p>
    <w:p w14:paraId="1B4D38ED" w14:textId="4DC7D2FD" w:rsidR="00D40632" w:rsidRPr="006E1B13" w:rsidRDefault="00F26E2E" w:rsidP="00044157">
      <w:pPr>
        <w:numPr>
          <w:ilvl w:val="0"/>
          <w:numId w:val="16"/>
        </w:numPr>
        <w:spacing w:before="0" w:after="120" w:line="276" w:lineRule="auto"/>
        <w:ind w:left="778" w:hanging="418"/>
        <w:jc w:val="both"/>
        <w:outlineLvl w:val="0"/>
        <w:rPr>
          <w:rFonts w:ascii="Arial" w:hAnsi="Arial" w:cs="Arial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A</w:t>
      </w:r>
      <w:r w:rsidR="00DB5AF6" w:rsidRPr="006E1B13">
        <w:rPr>
          <w:rStyle w:val="lev"/>
          <w:rFonts w:ascii="Arial" w:hAnsi="Arial" w:cs="Arial"/>
          <w:szCs w:val="24"/>
          <w:lang w:val="fr-FR"/>
        </w:rPr>
        <w:t>utorité a</w:t>
      </w:r>
      <w:r w:rsidRPr="006E1B13">
        <w:rPr>
          <w:rStyle w:val="lev"/>
          <w:rFonts w:ascii="Arial" w:hAnsi="Arial" w:cs="Arial"/>
          <w:szCs w:val="24"/>
          <w:lang w:val="fr-FR"/>
        </w:rPr>
        <w:t>djudicat</w:t>
      </w:r>
      <w:r w:rsidR="00DB5AF6" w:rsidRPr="006E1B13">
        <w:rPr>
          <w:rStyle w:val="lev"/>
          <w:rFonts w:ascii="Arial" w:hAnsi="Arial" w:cs="Arial"/>
          <w:szCs w:val="24"/>
          <w:lang w:val="fr-FR"/>
        </w:rPr>
        <w:t>rice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</w:t>
      </w:r>
      <w:r w:rsidR="00055C83" w:rsidRPr="006E1B13">
        <w:rPr>
          <w:rFonts w:ascii="Arial" w:hAnsi="Arial" w:cs="Arial"/>
          <w:szCs w:val="24"/>
          <w:lang w:val="fr-FR"/>
        </w:rPr>
        <w:t>:</w:t>
      </w:r>
      <w:r w:rsidR="00900626" w:rsidRPr="006E1B13">
        <w:rPr>
          <w:rFonts w:ascii="Arial" w:hAnsi="Arial" w:cs="Arial"/>
          <w:szCs w:val="24"/>
          <w:lang w:val="fr-FR"/>
        </w:rPr>
        <w:t xml:space="preserve"> </w:t>
      </w:r>
      <w:r w:rsidR="009208B8" w:rsidRPr="006E1B13">
        <w:rPr>
          <w:rFonts w:ascii="Arial" w:hAnsi="Arial" w:cs="Arial"/>
          <w:szCs w:val="24"/>
          <w:lang w:val="fr-FR"/>
        </w:rPr>
        <w:t>Facilité africaine de soutien juridique</w:t>
      </w:r>
      <w:r w:rsidRPr="006E1B13">
        <w:rPr>
          <w:rFonts w:ascii="Arial" w:hAnsi="Arial" w:cs="Arial"/>
          <w:szCs w:val="24"/>
          <w:lang w:val="fr-FR"/>
        </w:rPr>
        <w:t>, Abidjan (</w:t>
      </w:r>
      <w:r w:rsidR="009208B8" w:rsidRPr="006E1B13">
        <w:rPr>
          <w:rFonts w:ascii="Arial" w:hAnsi="Arial" w:cs="Arial"/>
          <w:szCs w:val="24"/>
          <w:lang w:val="fr-FR"/>
        </w:rPr>
        <w:t>Côte d</w:t>
      </w:r>
      <w:r w:rsidR="00637846">
        <w:rPr>
          <w:rFonts w:ascii="Arial" w:hAnsi="Arial" w:cs="Arial"/>
          <w:szCs w:val="24"/>
          <w:lang w:val="fr-FR"/>
        </w:rPr>
        <w:t>’</w:t>
      </w:r>
      <w:r w:rsidR="00900626" w:rsidRPr="006E1B13">
        <w:rPr>
          <w:rFonts w:ascii="Arial" w:hAnsi="Arial" w:cs="Arial"/>
          <w:szCs w:val="24"/>
          <w:lang w:val="fr-FR"/>
        </w:rPr>
        <w:t>Ivo</w:t>
      </w:r>
      <w:r w:rsidR="009208B8" w:rsidRPr="006E1B13">
        <w:rPr>
          <w:rFonts w:ascii="Arial" w:hAnsi="Arial" w:cs="Arial"/>
          <w:szCs w:val="24"/>
          <w:lang w:val="fr-FR"/>
        </w:rPr>
        <w:t>ire</w:t>
      </w:r>
      <w:r w:rsidRPr="006E1B13">
        <w:rPr>
          <w:rFonts w:ascii="Arial" w:hAnsi="Arial" w:cs="Arial"/>
          <w:szCs w:val="24"/>
          <w:lang w:val="fr-FR"/>
        </w:rPr>
        <w:t>)</w:t>
      </w:r>
      <w:r w:rsidR="00D40632" w:rsidRPr="006E1B13">
        <w:rPr>
          <w:rFonts w:ascii="Arial" w:hAnsi="Arial" w:cs="Arial"/>
          <w:szCs w:val="24"/>
          <w:lang w:val="fr-FR"/>
        </w:rPr>
        <w:t xml:space="preserve"> </w:t>
      </w:r>
    </w:p>
    <w:p w14:paraId="7C8D8D66" w14:textId="77777777" w:rsidR="00D40632" w:rsidRPr="006E1B13" w:rsidRDefault="009208B8" w:rsidP="00044157">
      <w:pPr>
        <w:numPr>
          <w:ilvl w:val="0"/>
          <w:numId w:val="16"/>
        </w:numPr>
        <w:spacing w:before="0" w:after="120" w:line="276" w:lineRule="auto"/>
        <w:ind w:left="778" w:hanging="418"/>
        <w:jc w:val="both"/>
        <w:outlineLvl w:val="0"/>
        <w:rPr>
          <w:rStyle w:val="lev"/>
          <w:rFonts w:ascii="Arial" w:hAnsi="Arial" w:cs="Arial"/>
          <w:b w:val="0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Nature du contrat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:</w:t>
      </w:r>
      <w:r w:rsidR="00900626" w:rsidRPr="006E1B13">
        <w:rPr>
          <w:rStyle w:val="lev"/>
          <w:rFonts w:ascii="Arial" w:hAnsi="Arial" w:cs="Arial"/>
          <w:szCs w:val="24"/>
          <w:lang w:val="fr-FR"/>
        </w:rPr>
        <w:t xml:space="preserve"> </w:t>
      </w:r>
      <w:r w:rsidR="00DB5AF6" w:rsidRPr="006E1B13">
        <w:rPr>
          <w:rStyle w:val="lev"/>
          <w:rFonts w:ascii="Arial" w:hAnsi="Arial" w:cs="Arial"/>
          <w:b w:val="0"/>
          <w:szCs w:val="24"/>
          <w:lang w:val="fr-FR"/>
        </w:rPr>
        <w:t>C</w:t>
      </w:r>
      <w:r w:rsidRPr="006E1B13">
        <w:rPr>
          <w:rStyle w:val="lev"/>
          <w:rFonts w:ascii="Arial" w:hAnsi="Arial" w:cs="Arial"/>
          <w:b w:val="0"/>
          <w:szCs w:val="24"/>
          <w:lang w:val="fr-FR"/>
        </w:rPr>
        <w:t xml:space="preserve">ontrat </w:t>
      </w:r>
      <w:r w:rsidR="008F0A80" w:rsidRPr="006E1B13">
        <w:rPr>
          <w:rStyle w:val="lev"/>
          <w:rFonts w:ascii="Arial" w:hAnsi="Arial" w:cs="Arial"/>
          <w:b w:val="0"/>
          <w:szCs w:val="24"/>
          <w:lang w:val="fr-FR"/>
        </w:rPr>
        <w:t>rémunéré par honoraires</w:t>
      </w:r>
    </w:p>
    <w:p w14:paraId="5D766FD3" w14:textId="05F5FFBE" w:rsidR="00556CF4" w:rsidRPr="006E1B13" w:rsidRDefault="009208B8" w:rsidP="00044157">
      <w:pPr>
        <w:numPr>
          <w:ilvl w:val="0"/>
          <w:numId w:val="16"/>
        </w:numPr>
        <w:spacing w:before="0" w:after="120" w:line="276" w:lineRule="auto"/>
        <w:jc w:val="both"/>
        <w:outlineLvl w:val="0"/>
        <w:rPr>
          <w:rFonts w:ascii="Arial" w:hAnsi="Arial" w:cs="Arial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>Manifestation d</w:t>
      </w:r>
      <w:r w:rsidR="00637846">
        <w:rPr>
          <w:rStyle w:val="lev"/>
          <w:rFonts w:ascii="Arial" w:hAnsi="Arial" w:cs="Arial"/>
          <w:szCs w:val="24"/>
          <w:lang w:val="fr-FR"/>
        </w:rPr>
        <w:t>’</w:t>
      </w:r>
      <w:r w:rsidRPr="006E1B13">
        <w:rPr>
          <w:rStyle w:val="lev"/>
          <w:rFonts w:ascii="Arial" w:hAnsi="Arial" w:cs="Arial"/>
          <w:szCs w:val="24"/>
          <w:lang w:val="fr-FR"/>
        </w:rPr>
        <w:t>intérêt</w:t>
      </w:r>
      <w:r w:rsidR="00055C83" w:rsidRPr="006E1B13">
        <w:rPr>
          <w:rStyle w:val="lev"/>
          <w:rFonts w:ascii="Arial" w:hAnsi="Arial" w:cs="Arial"/>
          <w:szCs w:val="24"/>
          <w:lang w:val="fr-FR"/>
        </w:rPr>
        <w:t> :</w:t>
      </w:r>
      <w:r w:rsidR="00BB4B54" w:rsidRPr="006E1B13">
        <w:rPr>
          <w:rFonts w:ascii="Arial" w:hAnsi="Arial" w:cs="Arial"/>
          <w:szCs w:val="24"/>
          <w:lang w:val="fr-FR"/>
        </w:rPr>
        <w:t xml:space="preserve"> </w:t>
      </w:r>
    </w:p>
    <w:p w14:paraId="20B78E8D" w14:textId="2F31B449" w:rsidR="00637846" w:rsidRPr="00A93A59" w:rsidRDefault="00637846" w:rsidP="00044157">
      <w:pPr>
        <w:pStyle w:val="Blockquote"/>
        <w:spacing w:before="0" w:after="120" w:line="276" w:lineRule="auto"/>
        <w:ind w:left="720"/>
        <w:jc w:val="both"/>
        <w:rPr>
          <w:rFonts w:ascii="Arial" w:hAnsi="Arial" w:cs="Arial"/>
          <w:szCs w:val="24"/>
          <w:lang w:val="fr-FR"/>
        </w:rPr>
      </w:pPr>
      <w:r w:rsidRPr="00A93A59">
        <w:rPr>
          <w:rFonts w:ascii="Arial" w:hAnsi="Arial" w:cs="Arial"/>
          <w:szCs w:val="24"/>
          <w:lang w:val="fr-FR"/>
        </w:rPr>
        <w:t xml:space="preserve">Chaque candidat intéressé doit soumettre une Lettre de manifestation d’intérêt selon le </w:t>
      </w:r>
      <w:r w:rsidR="005A623E" w:rsidRPr="00A93A59">
        <w:rPr>
          <w:rFonts w:ascii="Arial" w:hAnsi="Arial" w:cs="Arial"/>
          <w:szCs w:val="24"/>
          <w:lang w:val="fr-FR"/>
        </w:rPr>
        <w:t>modèle</w:t>
      </w:r>
      <w:r w:rsidRPr="00A93A59">
        <w:rPr>
          <w:rFonts w:ascii="Arial" w:hAnsi="Arial" w:cs="Arial"/>
          <w:szCs w:val="24"/>
          <w:lang w:val="fr-FR"/>
        </w:rPr>
        <w:t xml:space="preserve"> prévu à cet effet </w:t>
      </w:r>
      <w:r w:rsidRPr="00A93A59">
        <w:rPr>
          <w:rFonts w:ascii="Arial" w:hAnsi="Arial" w:cs="Arial"/>
          <w:szCs w:val="24"/>
          <w:lang w:val="fr-CI"/>
        </w:rPr>
        <w:t xml:space="preserve">(liens </w:t>
      </w:r>
      <w:r w:rsidRPr="00A93A59">
        <w:rPr>
          <w:rFonts w:ascii="Arial" w:hAnsi="Arial" w:cs="Arial"/>
          <w:szCs w:val="24"/>
          <w:lang w:val="fr-FR"/>
        </w:rPr>
        <w:t>pour accéder au modèle en anglais</w:t>
      </w:r>
      <w:r w:rsidR="00BA6FD9">
        <w:rPr>
          <w:rFonts w:ascii="Arial" w:hAnsi="Arial" w:cs="Arial"/>
          <w:szCs w:val="24"/>
          <w:lang w:val="fr-FR"/>
        </w:rPr>
        <w:t> </w:t>
      </w:r>
      <w:r w:rsidRPr="00A93A59">
        <w:rPr>
          <w:rFonts w:ascii="Arial" w:hAnsi="Arial" w:cs="Arial"/>
          <w:szCs w:val="24"/>
          <w:lang w:val="fr-CI"/>
        </w:rPr>
        <w:t xml:space="preserve">: </w:t>
      </w:r>
      <w:hyperlink r:id="rId8" w:history="1">
        <w:r w:rsidR="00314411" w:rsidRPr="00593FF5">
          <w:rPr>
            <w:rStyle w:val="Lienhypertexte"/>
            <w:rFonts w:ascii="Arial" w:hAnsi="Arial" w:cs="Arial"/>
            <w:lang w:val="fr-CI"/>
          </w:rPr>
          <w:t>https://alsf.int/public/procurement/</w:t>
        </w:r>
      </w:hyperlink>
      <w:r w:rsidR="00314411">
        <w:rPr>
          <w:rFonts w:ascii="Arial" w:hAnsi="Arial" w:cs="Arial"/>
          <w:lang w:val="fr-CI"/>
        </w:rPr>
        <w:t xml:space="preserve"> </w:t>
      </w:r>
      <w:r w:rsidRPr="00A93A59">
        <w:rPr>
          <w:rFonts w:ascii="Arial" w:hAnsi="Arial" w:cs="Arial"/>
          <w:szCs w:val="24"/>
          <w:lang w:val="fr-CI"/>
        </w:rPr>
        <w:t>(</w:t>
      </w:r>
      <w:r w:rsidRPr="00A93A59">
        <w:rPr>
          <w:rFonts w:ascii="Arial" w:hAnsi="Arial" w:cs="Arial"/>
          <w:szCs w:val="24"/>
          <w:lang w:val="fr-FR"/>
        </w:rPr>
        <w:t xml:space="preserve">rubrique </w:t>
      </w:r>
      <w:r w:rsidRPr="00A93A59">
        <w:rPr>
          <w:rFonts w:ascii="Arial" w:hAnsi="Arial" w:cs="Arial"/>
          <w:szCs w:val="24"/>
          <w:lang w:val="fr-CI"/>
        </w:rPr>
        <w:t>“</w:t>
      </w:r>
      <w:proofErr w:type="spellStart"/>
      <w:r w:rsidRPr="00A93A59">
        <w:rPr>
          <w:rFonts w:ascii="Arial" w:hAnsi="Arial" w:cs="Arial"/>
          <w:szCs w:val="24"/>
          <w:lang w:val="fr-CI"/>
        </w:rPr>
        <w:t>procurement</w:t>
      </w:r>
      <w:proofErr w:type="spellEnd"/>
      <w:r w:rsidRPr="00A93A59">
        <w:rPr>
          <w:rFonts w:ascii="Arial" w:hAnsi="Arial" w:cs="Arial"/>
          <w:szCs w:val="24"/>
          <w:lang w:val="fr-CI"/>
        </w:rPr>
        <w:t xml:space="preserve">”) et au </w:t>
      </w:r>
      <w:r w:rsidRPr="00A93A59">
        <w:rPr>
          <w:rFonts w:ascii="Arial" w:hAnsi="Arial" w:cs="Arial"/>
          <w:szCs w:val="24"/>
          <w:lang w:val="fr-FR"/>
        </w:rPr>
        <w:t>modèle en français</w:t>
      </w:r>
      <w:r w:rsidRPr="00A93A59">
        <w:rPr>
          <w:rFonts w:ascii="Arial" w:hAnsi="Arial" w:cs="Arial"/>
          <w:szCs w:val="24"/>
          <w:lang w:val="fr-CI"/>
        </w:rPr>
        <w:t xml:space="preserve"> </w:t>
      </w:r>
      <w:hyperlink r:id="rId9" w:history="1">
        <w:r w:rsidR="0047029A" w:rsidRPr="00593FF5">
          <w:rPr>
            <w:rStyle w:val="Lienhypertexte"/>
            <w:rFonts w:ascii="Arial" w:hAnsi="Arial" w:cs="Arial"/>
            <w:lang w:val="fr-CI"/>
          </w:rPr>
          <w:t>https://alsf.int/public/nos-appels-doffres</w:t>
        </w:r>
      </w:hyperlink>
      <w:r w:rsidR="0047029A">
        <w:rPr>
          <w:rFonts w:ascii="Arial" w:hAnsi="Arial" w:cs="Arial"/>
          <w:lang w:val="fr-CI"/>
        </w:rPr>
        <w:t xml:space="preserve"> </w:t>
      </w:r>
      <w:r w:rsidRPr="00A93A59">
        <w:rPr>
          <w:rFonts w:ascii="Arial" w:hAnsi="Arial" w:cs="Arial"/>
          <w:szCs w:val="24"/>
          <w:lang w:val="fr-CI"/>
        </w:rPr>
        <w:t>(</w:t>
      </w:r>
      <w:r w:rsidRPr="00A93A59">
        <w:rPr>
          <w:rFonts w:ascii="Arial" w:hAnsi="Arial" w:cs="Arial"/>
          <w:szCs w:val="24"/>
          <w:lang w:val="fr-FR"/>
        </w:rPr>
        <w:t xml:space="preserve">rubrique </w:t>
      </w:r>
      <w:r w:rsidRPr="00A93A59">
        <w:rPr>
          <w:rFonts w:ascii="Arial" w:hAnsi="Arial" w:cs="Arial"/>
          <w:szCs w:val="24"/>
          <w:lang w:val="fr-CI"/>
        </w:rPr>
        <w:t xml:space="preserve">« appel d’offres »)) </w:t>
      </w:r>
      <w:r w:rsidRPr="00A93A59">
        <w:rPr>
          <w:rFonts w:ascii="Arial" w:hAnsi="Arial" w:cs="Arial"/>
          <w:szCs w:val="24"/>
          <w:lang w:val="fr-FR"/>
        </w:rPr>
        <w:t xml:space="preserve">et l’envoyer à l’adresse : </w:t>
      </w:r>
      <w:hyperlink r:id="rId10" w:history="1">
        <w:r w:rsidR="002D283F" w:rsidRPr="00A93A59">
          <w:rPr>
            <w:rStyle w:val="Lienhypertexte"/>
            <w:rFonts w:ascii="Arial" w:hAnsi="Arial" w:cs="Arial"/>
            <w:szCs w:val="24"/>
            <w:lang w:val="fr-FR"/>
          </w:rPr>
          <w:t>alsfprocurement@afdb.org</w:t>
        </w:r>
      </w:hyperlink>
      <w:r w:rsidRPr="00A93A59">
        <w:rPr>
          <w:rFonts w:ascii="Arial" w:hAnsi="Arial" w:cs="Arial"/>
          <w:szCs w:val="24"/>
          <w:lang w:val="fr-FR"/>
        </w:rPr>
        <w:t>. Dès réception d’une Lettre de manifestation d’intérêt dûment signée, l’ALSF enverra le dossier incluant la documentation d’appel d’offres au candidat par courriel</w:t>
      </w:r>
      <w:r w:rsidR="002D283F" w:rsidRPr="00A93A59">
        <w:rPr>
          <w:rFonts w:ascii="Arial" w:hAnsi="Arial" w:cs="Arial"/>
          <w:szCs w:val="24"/>
          <w:lang w:val="fr-FR"/>
        </w:rPr>
        <w:t>.</w:t>
      </w:r>
    </w:p>
    <w:p w14:paraId="37A2AB76" w14:textId="7CAF9262" w:rsidR="001F7EB4" w:rsidRPr="006E1B13" w:rsidRDefault="00DD5A80" w:rsidP="006E1B13">
      <w:pPr>
        <w:numPr>
          <w:ilvl w:val="0"/>
          <w:numId w:val="16"/>
        </w:numPr>
        <w:spacing w:before="0" w:after="240" w:line="276" w:lineRule="auto"/>
        <w:ind w:left="851" w:right="357"/>
        <w:jc w:val="both"/>
        <w:outlineLvl w:val="0"/>
        <w:rPr>
          <w:rFonts w:ascii="Arial" w:hAnsi="Arial" w:cs="Arial"/>
          <w:szCs w:val="24"/>
          <w:lang w:val="fr-FR"/>
        </w:rPr>
      </w:pPr>
      <w:r w:rsidRPr="006E1B13">
        <w:rPr>
          <w:rStyle w:val="lev"/>
          <w:rFonts w:ascii="Arial" w:hAnsi="Arial" w:cs="Arial"/>
          <w:szCs w:val="24"/>
          <w:lang w:val="fr-FR"/>
        </w:rPr>
        <w:t xml:space="preserve">Date limite de soumission des </w:t>
      </w:r>
      <w:r w:rsidR="00913A98" w:rsidRPr="006E1B13">
        <w:rPr>
          <w:rStyle w:val="lev"/>
          <w:rFonts w:ascii="Arial" w:hAnsi="Arial" w:cs="Arial"/>
          <w:szCs w:val="24"/>
          <w:lang w:val="fr-FR"/>
        </w:rPr>
        <w:t>P</w:t>
      </w:r>
      <w:r w:rsidRPr="006E1B13">
        <w:rPr>
          <w:rStyle w:val="lev"/>
          <w:rFonts w:ascii="Arial" w:hAnsi="Arial" w:cs="Arial"/>
          <w:szCs w:val="24"/>
          <w:lang w:val="fr-FR"/>
        </w:rPr>
        <w:t>ropositions globales</w:t>
      </w:r>
      <w:r w:rsidR="00576C4F" w:rsidRPr="006E1B13">
        <w:rPr>
          <w:rStyle w:val="lev"/>
          <w:rFonts w:ascii="Arial" w:hAnsi="Arial" w:cs="Arial"/>
          <w:szCs w:val="24"/>
          <w:lang w:val="fr-FR"/>
        </w:rPr>
        <w:t xml:space="preserve"> : </w:t>
      </w:r>
      <w:r w:rsidR="00637846" w:rsidRPr="00BD3B1A">
        <w:rPr>
          <w:rStyle w:val="lev"/>
          <w:rFonts w:ascii="Arial" w:hAnsi="Arial" w:cs="Arial"/>
          <w:b w:val="0"/>
          <w:bCs/>
          <w:szCs w:val="24"/>
          <w:lang w:val="fr-CI"/>
        </w:rPr>
        <w:t>25</w:t>
      </w:r>
      <w:r w:rsidR="00096EFB" w:rsidRPr="00BD3B1A">
        <w:rPr>
          <w:rStyle w:val="lev"/>
          <w:rFonts w:ascii="Arial" w:hAnsi="Arial" w:cs="Arial"/>
          <w:b w:val="0"/>
          <w:bCs/>
          <w:szCs w:val="24"/>
          <w:lang w:val="fr-CI"/>
        </w:rPr>
        <w:t> </w:t>
      </w:r>
      <w:r w:rsidR="00637846" w:rsidRPr="00BD3B1A">
        <w:rPr>
          <w:rStyle w:val="lev"/>
          <w:rFonts w:ascii="Arial" w:hAnsi="Arial" w:cs="Arial"/>
          <w:b w:val="0"/>
          <w:bCs/>
          <w:szCs w:val="24"/>
          <w:lang w:val="fr-CI"/>
        </w:rPr>
        <w:t>août</w:t>
      </w:r>
      <w:r w:rsidR="00096EFB" w:rsidRPr="00BD3B1A">
        <w:rPr>
          <w:rStyle w:val="lev"/>
          <w:rFonts w:ascii="Arial" w:hAnsi="Arial" w:cs="Arial"/>
          <w:b w:val="0"/>
          <w:bCs/>
          <w:szCs w:val="24"/>
          <w:lang w:val="fr-CI"/>
        </w:rPr>
        <w:t> </w:t>
      </w:r>
      <w:r w:rsidR="00637846" w:rsidRPr="00BD3B1A">
        <w:rPr>
          <w:rStyle w:val="lev"/>
          <w:rFonts w:ascii="Arial" w:hAnsi="Arial" w:cs="Arial"/>
          <w:b w:val="0"/>
          <w:bCs/>
          <w:szCs w:val="24"/>
          <w:lang w:val="fr-CI"/>
        </w:rPr>
        <w:t>2023</w:t>
      </w:r>
      <w:r w:rsidRPr="00BD3B1A">
        <w:rPr>
          <w:rStyle w:val="lev"/>
          <w:rFonts w:ascii="Arial" w:hAnsi="Arial" w:cs="Arial"/>
          <w:b w:val="0"/>
          <w:bCs/>
          <w:szCs w:val="24"/>
          <w:lang w:val="fr-FR"/>
        </w:rPr>
        <w:t xml:space="preserve">, </w:t>
      </w:r>
      <w:r w:rsidR="00637846" w:rsidRPr="00BD3B1A">
        <w:rPr>
          <w:rStyle w:val="lev"/>
          <w:rFonts w:ascii="Arial" w:hAnsi="Arial" w:cs="Arial"/>
          <w:b w:val="0"/>
          <w:bCs/>
          <w:szCs w:val="24"/>
          <w:lang w:val="fr-FR"/>
        </w:rPr>
        <w:t xml:space="preserve">à </w:t>
      </w:r>
      <w:r w:rsidRPr="00BD3B1A">
        <w:rPr>
          <w:rStyle w:val="lev"/>
          <w:rFonts w:ascii="Arial" w:hAnsi="Arial" w:cs="Arial"/>
          <w:b w:val="0"/>
          <w:bCs/>
          <w:szCs w:val="24"/>
          <w:lang w:val="fr-FR"/>
        </w:rPr>
        <w:t xml:space="preserve">18h00 </w:t>
      </w:r>
      <w:r w:rsidR="00E24EE3" w:rsidRPr="00BD3B1A">
        <w:rPr>
          <w:rStyle w:val="lev"/>
          <w:rFonts w:ascii="Arial" w:hAnsi="Arial" w:cs="Arial"/>
          <w:b w:val="0"/>
          <w:bCs/>
          <w:szCs w:val="24"/>
          <w:lang w:val="fr-FR"/>
        </w:rPr>
        <w:t>T</w:t>
      </w:r>
      <w:r w:rsidRPr="00BD3B1A">
        <w:rPr>
          <w:rStyle w:val="lev"/>
          <w:rFonts w:ascii="Arial" w:hAnsi="Arial" w:cs="Arial"/>
          <w:b w:val="0"/>
          <w:bCs/>
          <w:szCs w:val="24"/>
          <w:lang w:val="fr-FR"/>
        </w:rPr>
        <w:t>UC</w:t>
      </w:r>
      <w:r w:rsidR="00637846">
        <w:rPr>
          <w:rStyle w:val="lev"/>
          <w:rFonts w:ascii="Arial" w:hAnsi="Arial" w:cs="Arial"/>
          <w:b w:val="0"/>
          <w:bCs/>
          <w:szCs w:val="24"/>
          <w:lang w:val="fr-FR"/>
        </w:rPr>
        <w:t>.</w:t>
      </w:r>
    </w:p>
    <w:sectPr w:rsidR="001F7EB4" w:rsidRPr="006E1B13" w:rsidSect="00A93A59">
      <w:headerReference w:type="default" r:id="rId11"/>
      <w:footerReference w:type="even" r:id="rId12"/>
      <w:footerReference w:type="default" r:id="rId13"/>
      <w:pgSz w:w="12240" w:h="15840"/>
      <w:pgMar w:top="1135" w:right="1440" w:bottom="1350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C908" w14:textId="77777777" w:rsidR="00F768E8" w:rsidRDefault="00F768E8">
      <w:r>
        <w:separator/>
      </w:r>
    </w:p>
  </w:endnote>
  <w:endnote w:type="continuationSeparator" w:id="0">
    <w:p w14:paraId="23F3104D" w14:textId="77777777" w:rsidR="00F768E8" w:rsidRDefault="00F7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FE49" w14:textId="77777777" w:rsidR="006F6268" w:rsidRDefault="006F6268" w:rsidP="00A821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16C4D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84AFE60" w14:textId="77777777" w:rsidR="006F6268" w:rsidRDefault="006F6268" w:rsidP="00A82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E230" w14:textId="45745C86" w:rsidR="00A93A59" w:rsidRPr="00A93A59" w:rsidRDefault="00A93A59" w:rsidP="00A93A59">
    <w:pPr>
      <w:pStyle w:val="Pieddepage"/>
      <w:pBdr>
        <w:top w:val="single" w:sz="4" w:space="1" w:color="auto"/>
      </w:pBdr>
      <w:tabs>
        <w:tab w:val="clear" w:pos="4320"/>
        <w:tab w:val="clear" w:pos="8640"/>
        <w:tab w:val="left" w:pos="580"/>
        <w:tab w:val="right" w:pos="8080"/>
      </w:tabs>
      <w:ind w:right="360"/>
      <w:rPr>
        <w:rFonts w:ascii="Arial" w:hAnsi="Arial" w:cs="Arial"/>
        <w:sz w:val="20"/>
        <w:lang w:val="fr-FR"/>
      </w:rPr>
    </w:pPr>
    <w:r w:rsidRPr="00A93A59">
      <w:rPr>
        <w:rFonts w:ascii="Arial" w:hAnsi="Arial" w:cs="Arial"/>
        <w:sz w:val="20"/>
        <w:lang w:val="fr-FR"/>
      </w:rPr>
      <w:t>Avis de passation de marchés relatif à l’Accord-cadre – Panel A</w:t>
    </w:r>
  </w:p>
  <w:p w14:paraId="031842DF" w14:textId="2E66E023" w:rsidR="00A93A59" w:rsidRPr="00A93A59" w:rsidRDefault="00A93A59" w:rsidP="00A93A59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8080"/>
      </w:tabs>
      <w:ind w:right="360"/>
      <w:jc w:val="center"/>
      <w:rPr>
        <w:rFonts w:ascii="Arial" w:hAnsi="Arial" w:cs="Arial"/>
        <w:sz w:val="20"/>
        <w:lang w:val="fr-FR"/>
      </w:rPr>
    </w:pPr>
    <w:r w:rsidRPr="00A93A59">
      <w:rPr>
        <w:rFonts w:ascii="Arial" w:hAnsi="Arial" w:cs="Arial"/>
        <w:sz w:val="20"/>
      </w:rPr>
      <w:fldChar w:fldCharType="begin"/>
    </w:r>
    <w:r w:rsidRPr="00A93A59">
      <w:rPr>
        <w:rFonts w:ascii="Arial" w:hAnsi="Arial" w:cs="Arial"/>
        <w:sz w:val="20"/>
        <w:lang w:val="fr-FR"/>
      </w:rPr>
      <w:instrText xml:space="preserve"> PAGE   \* MERGEFORMAT </w:instrText>
    </w:r>
    <w:r w:rsidRPr="00A93A59">
      <w:rPr>
        <w:rFonts w:ascii="Arial" w:hAnsi="Arial" w:cs="Arial"/>
        <w:sz w:val="20"/>
      </w:rPr>
      <w:fldChar w:fldCharType="separate"/>
    </w:r>
    <w:r w:rsidRPr="00A93A59">
      <w:rPr>
        <w:rFonts w:ascii="Arial" w:hAnsi="Arial" w:cs="Arial"/>
        <w:sz w:val="20"/>
      </w:rPr>
      <w:t>1</w:t>
    </w:r>
    <w:r w:rsidRPr="00A93A59">
      <w:rPr>
        <w:rFonts w:ascii="Arial" w:hAnsi="Arial" w:cs="Arial"/>
        <w:noProof/>
        <w:sz w:val="20"/>
      </w:rPr>
      <w:fldChar w:fldCharType="end"/>
    </w:r>
  </w:p>
  <w:p w14:paraId="4A98A721" w14:textId="08A4B37D" w:rsidR="00A93A59" w:rsidRPr="00D74BD5" w:rsidRDefault="00A93A59" w:rsidP="00A93A59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8080"/>
      </w:tabs>
      <w:ind w:right="360"/>
      <w:jc w:val="center"/>
      <w:rPr>
        <w:rFonts w:ascii="Arial" w:hAnsi="Arial" w:cs="Arial"/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8D22" w14:textId="77777777" w:rsidR="00F768E8" w:rsidRDefault="00F768E8">
      <w:r>
        <w:separator/>
      </w:r>
    </w:p>
  </w:footnote>
  <w:footnote w:type="continuationSeparator" w:id="0">
    <w:p w14:paraId="7CD53E95" w14:textId="77777777" w:rsidR="00F768E8" w:rsidRDefault="00F7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6E5F" w14:textId="3D6A4BA4" w:rsidR="006E1B13" w:rsidRDefault="00A93A59" w:rsidP="006E1B13">
    <w:pPr>
      <w:pStyle w:val="En-tte"/>
      <w:jc w:val="center"/>
    </w:pPr>
    <w:r>
      <w:rPr>
        <w:rFonts w:ascii="Arial" w:hAnsi="Arial" w:cs="Arial"/>
        <w:noProof/>
        <w:snapToGrid/>
        <w:lang w:val="fr-FR" w:eastAsia="fr-FR"/>
      </w:rPr>
      <w:drawing>
        <wp:inline distT="0" distB="0" distL="0" distR="0" wp14:anchorId="2D788B27" wp14:editId="0DD4F291">
          <wp:extent cx="3219450" cy="1079500"/>
          <wp:effectExtent l="0" t="0" r="0" b="0"/>
          <wp:docPr id="25" name="Image 2" descr="Une image contenant diagram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diagram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6CA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D565909"/>
    <w:multiLevelType w:val="hybridMultilevel"/>
    <w:tmpl w:val="D694ACDE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05E0C8A"/>
    <w:multiLevelType w:val="hybridMultilevel"/>
    <w:tmpl w:val="778491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7951DC"/>
    <w:multiLevelType w:val="hybridMultilevel"/>
    <w:tmpl w:val="50C2A3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31034"/>
    <w:multiLevelType w:val="hybridMultilevel"/>
    <w:tmpl w:val="B8FE6C02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133A63"/>
    <w:multiLevelType w:val="hybridMultilevel"/>
    <w:tmpl w:val="D10AF29E"/>
    <w:lvl w:ilvl="0" w:tplc="99D277B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30138"/>
    <w:multiLevelType w:val="hybridMultilevel"/>
    <w:tmpl w:val="D5C229AE"/>
    <w:lvl w:ilvl="0" w:tplc="85F6B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742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1495493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2741645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57104287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85014423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50878796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52393539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246500427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71389411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 w16cid:durableId="128827107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1915969294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 w16cid:durableId="181109364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 w16cid:durableId="217518097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 w16cid:durableId="530649249">
    <w:abstractNumId w:val="19"/>
  </w:num>
  <w:num w:numId="15" w16cid:durableId="566457229">
    <w:abstractNumId w:val="17"/>
  </w:num>
  <w:num w:numId="16" w16cid:durableId="934048887">
    <w:abstractNumId w:val="20"/>
  </w:num>
  <w:num w:numId="17" w16cid:durableId="1167399662">
    <w:abstractNumId w:val="21"/>
  </w:num>
  <w:num w:numId="18" w16cid:durableId="1573193566">
    <w:abstractNumId w:val="15"/>
  </w:num>
  <w:num w:numId="19" w16cid:durableId="1654287773">
    <w:abstractNumId w:val="16"/>
  </w:num>
  <w:num w:numId="20" w16cid:durableId="2008286554">
    <w:abstractNumId w:val="18"/>
  </w:num>
  <w:num w:numId="21" w16cid:durableId="1360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006B3"/>
    <w:rsid w:val="000012DB"/>
    <w:rsid w:val="0000653E"/>
    <w:rsid w:val="0001162E"/>
    <w:rsid w:val="0001549D"/>
    <w:rsid w:val="000158CB"/>
    <w:rsid w:val="00022AED"/>
    <w:rsid w:val="000345D1"/>
    <w:rsid w:val="00034DC1"/>
    <w:rsid w:val="000406AC"/>
    <w:rsid w:val="00044157"/>
    <w:rsid w:val="0004455A"/>
    <w:rsid w:val="0004522F"/>
    <w:rsid w:val="00055C83"/>
    <w:rsid w:val="00057498"/>
    <w:rsid w:val="00066566"/>
    <w:rsid w:val="00067C50"/>
    <w:rsid w:val="00077CC1"/>
    <w:rsid w:val="000801A8"/>
    <w:rsid w:val="00096EFB"/>
    <w:rsid w:val="000A03DE"/>
    <w:rsid w:val="000B397B"/>
    <w:rsid w:val="000C2D2D"/>
    <w:rsid w:val="000E4B32"/>
    <w:rsid w:val="000F0279"/>
    <w:rsid w:val="000F2B86"/>
    <w:rsid w:val="00105DDC"/>
    <w:rsid w:val="00107435"/>
    <w:rsid w:val="00113D17"/>
    <w:rsid w:val="00122670"/>
    <w:rsid w:val="00141BAE"/>
    <w:rsid w:val="001624D7"/>
    <w:rsid w:val="00192E9F"/>
    <w:rsid w:val="001C3823"/>
    <w:rsid w:val="001D245E"/>
    <w:rsid w:val="001E144C"/>
    <w:rsid w:val="001E5084"/>
    <w:rsid w:val="001F24B7"/>
    <w:rsid w:val="001F7EB4"/>
    <w:rsid w:val="0020669C"/>
    <w:rsid w:val="00210065"/>
    <w:rsid w:val="002208AE"/>
    <w:rsid w:val="00223187"/>
    <w:rsid w:val="002252B6"/>
    <w:rsid w:val="002403B2"/>
    <w:rsid w:val="002518FC"/>
    <w:rsid w:val="002606C3"/>
    <w:rsid w:val="00262C21"/>
    <w:rsid w:val="00263A24"/>
    <w:rsid w:val="00277CE2"/>
    <w:rsid w:val="002B1372"/>
    <w:rsid w:val="002B48D9"/>
    <w:rsid w:val="002B5FFD"/>
    <w:rsid w:val="002B611D"/>
    <w:rsid w:val="002D283F"/>
    <w:rsid w:val="002D417C"/>
    <w:rsid w:val="002D5C83"/>
    <w:rsid w:val="002E1E48"/>
    <w:rsid w:val="00301DD4"/>
    <w:rsid w:val="00302B7A"/>
    <w:rsid w:val="0031058A"/>
    <w:rsid w:val="00314411"/>
    <w:rsid w:val="00321F18"/>
    <w:rsid w:val="00327196"/>
    <w:rsid w:val="003425D3"/>
    <w:rsid w:val="003434EB"/>
    <w:rsid w:val="00374A51"/>
    <w:rsid w:val="003825BB"/>
    <w:rsid w:val="00397E42"/>
    <w:rsid w:val="003A3BCF"/>
    <w:rsid w:val="003B0172"/>
    <w:rsid w:val="003C0CAD"/>
    <w:rsid w:val="003C76FC"/>
    <w:rsid w:val="003D1573"/>
    <w:rsid w:val="003D3DF3"/>
    <w:rsid w:val="003D7757"/>
    <w:rsid w:val="003E500E"/>
    <w:rsid w:val="003F540F"/>
    <w:rsid w:val="0041219F"/>
    <w:rsid w:val="00416C18"/>
    <w:rsid w:val="00452EE7"/>
    <w:rsid w:val="0047029A"/>
    <w:rsid w:val="00481DDA"/>
    <w:rsid w:val="00483F1D"/>
    <w:rsid w:val="004940AD"/>
    <w:rsid w:val="004D13B5"/>
    <w:rsid w:val="004D1843"/>
    <w:rsid w:val="00502E2E"/>
    <w:rsid w:val="00526C3C"/>
    <w:rsid w:val="00527D29"/>
    <w:rsid w:val="00534F0F"/>
    <w:rsid w:val="00556CF4"/>
    <w:rsid w:val="005622CB"/>
    <w:rsid w:val="00576C4F"/>
    <w:rsid w:val="005775C5"/>
    <w:rsid w:val="00590D51"/>
    <w:rsid w:val="005A5C96"/>
    <w:rsid w:val="005A623E"/>
    <w:rsid w:val="005C7A0D"/>
    <w:rsid w:val="005C7D4E"/>
    <w:rsid w:val="005D7DF3"/>
    <w:rsid w:val="005E5605"/>
    <w:rsid w:val="0062550F"/>
    <w:rsid w:val="00626355"/>
    <w:rsid w:val="00626DA2"/>
    <w:rsid w:val="00636496"/>
    <w:rsid w:val="00637846"/>
    <w:rsid w:val="006449EF"/>
    <w:rsid w:val="00647417"/>
    <w:rsid w:val="00664FCB"/>
    <w:rsid w:val="00676F67"/>
    <w:rsid w:val="00690815"/>
    <w:rsid w:val="00695D71"/>
    <w:rsid w:val="006A3B54"/>
    <w:rsid w:val="006B28B9"/>
    <w:rsid w:val="006B4D57"/>
    <w:rsid w:val="006C71FF"/>
    <w:rsid w:val="006E1B13"/>
    <w:rsid w:val="006E5079"/>
    <w:rsid w:val="006F6268"/>
    <w:rsid w:val="007006B3"/>
    <w:rsid w:val="00705B25"/>
    <w:rsid w:val="0072052C"/>
    <w:rsid w:val="00721E39"/>
    <w:rsid w:val="00731F2F"/>
    <w:rsid w:val="00740553"/>
    <w:rsid w:val="00754CDF"/>
    <w:rsid w:val="0075614B"/>
    <w:rsid w:val="007830E5"/>
    <w:rsid w:val="00784FB1"/>
    <w:rsid w:val="0078543C"/>
    <w:rsid w:val="00787314"/>
    <w:rsid w:val="00796089"/>
    <w:rsid w:val="00796D53"/>
    <w:rsid w:val="007A289A"/>
    <w:rsid w:val="007B7B10"/>
    <w:rsid w:val="007D3FAA"/>
    <w:rsid w:val="007D4A0C"/>
    <w:rsid w:val="007D4FF8"/>
    <w:rsid w:val="007E0E29"/>
    <w:rsid w:val="007E2060"/>
    <w:rsid w:val="007E525D"/>
    <w:rsid w:val="007F1DC4"/>
    <w:rsid w:val="007F2CFC"/>
    <w:rsid w:val="00803B4F"/>
    <w:rsid w:val="0080715C"/>
    <w:rsid w:val="00811C77"/>
    <w:rsid w:val="00812333"/>
    <w:rsid w:val="00813A8C"/>
    <w:rsid w:val="00833C41"/>
    <w:rsid w:val="008577E8"/>
    <w:rsid w:val="00864A63"/>
    <w:rsid w:val="00867719"/>
    <w:rsid w:val="008860A6"/>
    <w:rsid w:val="008A03D8"/>
    <w:rsid w:val="008A72EC"/>
    <w:rsid w:val="008C67C9"/>
    <w:rsid w:val="008D0D4D"/>
    <w:rsid w:val="008E58E4"/>
    <w:rsid w:val="008F02A2"/>
    <w:rsid w:val="008F0A80"/>
    <w:rsid w:val="00900626"/>
    <w:rsid w:val="00913A98"/>
    <w:rsid w:val="009208B8"/>
    <w:rsid w:val="00921D31"/>
    <w:rsid w:val="009255A1"/>
    <w:rsid w:val="00942C35"/>
    <w:rsid w:val="00943913"/>
    <w:rsid w:val="009439A9"/>
    <w:rsid w:val="009469C9"/>
    <w:rsid w:val="00947708"/>
    <w:rsid w:val="00950000"/>
    <w:rsid w:val="00950E68"/>
    <w:rsid w:val="0095390B"/>
    <w:rsid w:val="00964CFA"/>
    <w:rsid w:val="00965B09"/>
    <w:rsid w:val="00965C18"/>
    <w:rsid w:val="009821E9"/>
    <w:rsid w:val="00982D25"/>
    <w:rsid w:val="00984C34"/>
    <w:rsid w:val="00992BFF"/>
    <w:rsid w:val="009A5FB7"/>
    <w:rsid w:val="009A6256"/>
    <w:rsid w:val="009A7B25"/>
    <w:rsid w:val="009B1C03"/>
    <w:rsid w:val="009B35B0"/>
    <w:rsid w:val="009B7B7E"/>
    <w:rsid w:val="009C7D32"/>
    <w:rsid w:val="009D227B"/>
    <w:rsid w:val="009D5DF4"/>
    <w:rsid w:val="009E3060"/>
    <w:rsid w:val="009F3ADC"/>
    <w:rsid w:val="00A054EF"/>
    <w:rsid w:val="00A0731E"/>
    <w:rsid w:val="00A16C4D"/>
    <w:rsid w:val="00A261BD"/>
    <w:rsid w:val="00A471AE"/>
    <w:rsid w:val="00A47DF6"/>
    <w:rsid w:val="00A513CA"/>
    <w:rsid w:val="00A52174"/>
    <w:rsid w:val="00A5647D"/>
    <w:rsid w:val="00A57077"/>
    <w:rsid w:val="00A65367"/>
    <w:rsid w:val="00A71043"/>
    <w:rsid w:val="00A71A4E"/>
    <w:rsid w:val="00A73081"/>
    <w:rsid w:val="00A767A6"/>
    <w:rsid w:val="00A76880"/>
    <w:rsid w:val="00A8218E"/>
    <w:rsid w:val="00A93A59"/>
    <w:rsid w:val="00AC6DD2"/>
    <w:rsid w:val="00AD3F78"/>
    <w:rsid w:val="00AF2A75"/>
    <w:rsid w:val="00AF38BF"/>
    <w:rsid w:val="00B01513"/>
    <w:rsid w:val="00B016A6"/>
    <w:rsid w:val="00B167A8"/>
    <w:rsid w:val="00B21840"/>
    <w:rsid w:val="00B23DF6"/>
    <w:rsid w:val="00B470E3"/>
    <w:rsid w:val="00B51C37"/>
    <w:rsid w:val="00B56468"/>
    <w:rsid w:val="00B570B7"/>
    <w:rsid w:val="00B66429"/>
    <w:rsid w:val="00B824B2"/>
    <w:rsid w:val="00BA6FD9"/>
    <w:rsid w:val="00BB4B54"/>
    <w:rsid w:val="00BD3B1A"/>
    <w:rsid w:val="00BE5089"/>
    <w:rsid w:val="00BE6AF3"/>
    <w:rsid w:val="00BF02E8"/>
    <w:rsid w:val="00BF0E17"/>
    <w:rsid w:val="00BF26FC"/>
    <w:rsid w:val="00BF428F"/>
    <w:rsid w:val="00BF6586"/>
    <w:rsid w:val="00BF7A3F"/>
    <w:rsid w:val="00C129C0"/>
    <w:rsid w:val="00C1519D"/>
    <w:rsid w:val="00C173E5"/>
    <w:rsid w:val="00C17AD6"/>
    <w:rsid w:val="00C23E6D"/>
    <w:rsid w:val="00C351D5"/>
    <w:rsid w:val="00C373C1"/>
    <w:rsid w:val="00C66EF1"/>
    <w:rsid w:val="00C714C9"/>
    <w:rsid w:val="00C722A7"/>
    <w:rsid w:val="00C76BB6"/>
    <w:rsid w:val="00C81497"/>
    <w:rsid w:val="00C84736"/>
    <w:rsid w:val="00C87D83"/>
    <w:rsid w:val="00C95C19"/>
    <w:rsid w:val="00CA2905"/>
    <w:rsid w:val="00CA3066"/>
    <w:rsid w:val="00CB09EA"/>
    <w:rsid w:val="00CB49C8"/>
    <w:rsid w:val="00CD1DB6"/>
    <w:rsid w:val="00CE3776"/>
    <w:rsid w:val="00CE497E"/>
    <w:rsid w:val="00CF0E6E"/>
    <w:rsid w:val="00CF35D8"/>
    <w:rsid w:val="00CF5F98"/>
    <w:rsid w:val="00D10243"/>
    <w:rsid w:val="00D12B32"/>
    <w:rsid w:val="00D1684F"/>
    <w:rsid w:val="00D230A2"/>
    <w:rsid w:val="00D33053"/>
    <w:rsid w:val="00D40632"/>
    <w:rsid w:val="00D57BFB"/>
    <w:rsid w:val="00D622C1"/>
    <w:rsid w:val="00D629DE"/>
    <w:rsid w:val="00D630FA"/>
    <w:rsid w:val="00D6593A"/>
    <w:rsid w:val="00D74978"/>
    <w:rsid w:val="00D74BD5"/>
    <w:rsid w:val="00D74E6A"/>
    <w:rsid w:val="00D7689C"/>
    <w:rsid w:val="00D92827"/>
    <w:rsid w:val="00D93CCB"/>
    <w:rsid w:val="00DA3CC7"/>
    <w:rsid w:val="00DB5AF6"/>
    <w:rsid w:val="00DC1CC0"/>
    <w:rsid w:val="00DC592B"/>
    <w:rsid w:val="00DD0539"/>
    <w:rsid w:val="00DD5A80"/>
    <w:rsid w:val="00DD6CCD"/>
    <w:rsid w:val="00DE4A90"/>
    <w:rsid w:val="00E22666"/>
    <w:rsid w:val="00E23D8F"/>
    <w:rsid w:val="00E24599"/>
    <w:rsid w:val="00E24EE3"/>
    <w:rsid w:val="00E30808"/>
    <w:rsid w:val="00E360C8"/>
    <w:rsid w:val="00E6634F"/>
    <w:rsid w:val="00E668C2"/>
    <w:rsid w:val="00EA39FB"/>
    <w:rsid w:val="00EB0A7F"/>
    <w:rsid w:val="00EB2E26"/>
    <w:rsid w:val="00EB5814"/>
    <w:rsid w:val="00ED0704"/>
    <w:rsid w:val="00ED2C34"/>
    <w:rsid w:val="00EE19B4"/>
    <w:rsid w:val="00EE4B16"/>
    <w:rsid w:val="00EE5DB4"/>
    <w:rsid w:val="00EF3EEB"/>
    <w:rsid w:val="00F0367F"/>
    <w:rsid w:val="00F22C21"/>
    <w:rsid w:val="00F26E2E"/>
    <w:rsid w:val="00F349C6"/>
    <w:rsid w:val="00F3552B"/>
    <w:rsid w:val="00F42FC1"/>
    <w:rsid w:val="00F44A67"/>
    <w:rsid w:val="00F768E8"/>
    <w:rsid w:val="00F81C35"/>
    <w:rsid w:val="00F8687C"/>
    <w:rsid w:val="00F9258B"/>
    <w:rsid w:val="00F95747"/>
    <w:rsid w:val="00FA5670"/>
    <w:rsid w:val="00FB6255"/>
    <w:rsid w:val="00FC2360"/>
    <w:rsid w:val="00FC70DA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A3C50"/>
  <w15:chartTrackingRefBased/>
  <w15:docId w15:val="{A534422A-CC17-41F2-B27A-3D950409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Accentuation">
    <w:name w:val="Emphasis"/>
    <w:qFormat/>
    <w:rPr>
      <w:i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asduformulaire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Hautduformulaire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lev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8218E"/>
  </w:style>
  <w:style w:type="paragraph" w:styleId="Textedebulles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Notedebasdepage">
    <w:name w:val="footnote text"/>
    <w:basedOn w:val="Normal"/>
    <w:link w:val="NotedebasdepageCar"/>
    <w:rsid w:val="00E668C2"/>
    <w:rPr>
      <w:sz w:val="20"/>
    </w:rPr>
  </w:style>
  <w:style w:type="character" w:customStyle="1" w:styleId="NotedebasdepageCar">
    <w:name w:val="Note de bas de page Car"/>
    <w:link w:val="Notedebasdepage"/>
    <w:rsid w:val="00E668C2"/>
    <w:rPr>
      <w:snapToGrid w:val="0"/>
      <w:lang w:val="en-US" w:eastAsia="en-US"/>
    </w:rPr>
  </w:style>
  <w:style w:type="character" w:styleId="Appelnotedebasdep">
    <w:name w:val="footnote reference"/>
    <w:rsid w:val="00E668C2"/>
    <w:rPr>
      <w:vertAlign w:val="superscript"/>
    </w:rPr>
  </w:style>
  <w:style w:type="paragraph" w:customStyle="1" w:styleId="Listeclaire-Accent31">
    <w:name w:val="Liste claire - Accent 31"/>
    <w:hidden/>
    <w:uiPriority w:val="99"/>
    <w:semiHidden/>
    <w:rsid w:val="00A47DF6"/>
    <w:rPr>
      <w:snapToGrid w:val="0"/>
      <w:sz w:val="24"/>
      <w:lang w:val="en-US" w:eastAsia="en-US"/>
    </w:rPr>
  </w:style>
  <w:style w:type="character" w:customStyle="1" w:styleId="PieddepageCar">
    <w:name w:val="Pied de page Car"/>
    <w:link w:val="Pieddepage"/>
    <w:uiPriority w:val="99"/>
    <w:rsid w:val="00900626"/>
    <w:rPr>
      <w:snapToGrid w:val="0"/>
      <w:sz w:val="24"/>
      <w:lang w:val="en-US" w:eastAsia="en-US"/>
    </w:rPr>
  </w:style>
  <w:style w:type="paragraph" w:styleId="Sous-titre">
    <w:name w:val="Subtitle"/>
    <w:basedOn w:val="Normal"/>
    <w:link w:val="Sous-titreCar"/>
    <w:qFormat/>
    <w:rsid w:val="00900626"/>
    <w:pPr>
      <w:widowControl/>
      <w:spacing w:before="0" w:after="0"/>
      <w:jc w:val="center"/>
    </w:pPr>
    <w:rPr>
      <w:b/>
      <w:snapToGrid/>
      <w:sz w:val="28"/>
      <w:lang w:val="fr-BE" w:eastAsia="en-GB"/>
    </w:rPr>
  </w:style>
  <w:style w:type="character" w:customStyle="1" w:styleId="Sous-titreCar">
    <w:name w:val="Sous-titre Car"/>
    <w:link w:val="Sous-titre"/>
    <w:rsid w:val="00900626"/>
    <w:rPr>
      <w:b/>
      <w:sz w:val="28"/>
      <w:lang w:val="fr-BE" w:eastAsia="en-GB"/>
    </w:rPr>
  </w:style>
  <w:style w:type="character" w:styleId="Marquedecommentaire">
    <w:name w:val="annotation reference"/>
    <w:rsid w:val="00F9258B"/>
    <w:rPr>
      <w:sz w:val="16"/>
      <w:szCs w:val="16"/>
    </w:rPr>
  </w:style>
  <w:style w:type="paragraph" w:styleId="Commentaire">
    <w:name w:val="annotation text"/>
    <w:basedOn w:val="Normal"/>
    <w:link w:val="CommentaireCar"/>
    <w:rsid w:val="00F9258B"/>
    <w:rPr>
      <w:sz w:val="20"/>
    </w:rPr>
  </w:style>
  <w:style w:type="character" w:customStyle="1" w:styleId="CommentaireCar">
    <w:name w:val="Commentaire Car"/>
    <w:link w:val="Commentaire"/>
    <w:rsid w:val="00F9258B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rsid w:val="00F9258B"/>
    <w:rPr>
      <w:b/>
      <w:bCs/>
    </w:rPr>
  </w:style>
  <w:style w:type="character" w:customStyle="1" w:styleId="ObjetducommentaireCar">
    <w:name w:val="Objet du commentaire Car"/>
    <w:link w:val="Objetducommentaire"/>
    <w:rsid w:val="00F9258B"/>
    <w:rPr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CA3066"/>
    <w:pPr>
      <w:widowControl/>
      <w:spacing w:beforeAutospacing="1" w:afterAutospacing="1"/>
    </w:pPr>
    <w:rPr>
      <w:snapToGrid/>
      <w:szCs w:val="24"/>
      <w:lang w:val="hu-HU" w:eastAsia="hu-HU"/>
    </w:rPr>
  </w:style>
  <w:style w:type="paragraph" w:customStyle="1" w:styleId="Tramecouleur-Accent11">
    <w:name w:val="Trame couleur - Accent 11"/>
    <w:hidden/>
    <w:uiPriority w:val="71"/>
    <w:rsid w:val="00CD1DB6"/>
    <w:rPr>
      <w:snapToGrid w:val="0"/>
      <w:sz w:val="24"/>
      <w:lang w:val="en-US" w:eastAsia="en-US"/>
    </w:rPr>
  </w:style>
  <w:style w:type="character" w:customStyle="1" w:styleId="En-tteCar">
    <w:name w:val="En-tête Car"/>
    <w:link w:val="En-tte"/>
    <w:uiPriority w:val="99"/>
    <w:rsid w:val="006E1B13"/>
    <w:rPr>
      <w:snapToGrid w:val="0"/>
      <w:sz w:val="24"/>
      <w:lang w:val="en-US" w:eastAsia="en-US"/>
    </w:rPr>
  </w:style>
  <w:style w:type="paragraph" w:styleId="Rvision">
    <w:name w:val="Revision"/>
    <w:hidden/>
    <w:uiPriority w:val="99"/>
    <w:semiHidden/>
    <w:rsid w:val="00F0367F"/>
    <w:rPr>
      <w:snapToGrid w:val="0"/>
      <w:sz w:val="24"/>
      <w:lang w:val="en-US" w:eastAsia="en-US"/>
    </w:rPr>
  </w:style>
  <w:style w:type="character" w:styleId="Mentionnonrsolue">
    <w:name w:val="Unresolved Mention"/>
    <w:uiPriority w:val="99"/>
    <w:semiHidden/>
    <w:unhideWhenUsed/>
    <w:rsid w:val="002D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sf.int/public/procurement/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alsfprocurement@afdb.org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alsf.int/public/nos-appels-doffres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C8A3-DE98-4FC9-A580-1D49F2F997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3120</CharactersWithSpaces>
  <SharedDoc>false</SharedDoc>
  <HyperlinkBase/>
  <HLinks>
    <vt:vector size="18" baseType="variant">
      <vt:variant>
        <vt:i4>3932185</vt:i4>
      </vt:variant>
      <vt:variant>
        <vt:i4>6</vt:i4>
      </vt:variant>
      <vt:variant>
        <vt:i4>0</vt:i4>
      </vt:variant>
      <vt:variant>
        <vt:i4>5</vt:i4>
      </vt:variant>
      <vt:variant>
        <vt:lpwstr>mailto:alsf@afdb.org</vt:lpwstr>
      </vt:variant>
      <vt:variant>
        <vt:lpwstr/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http://aflsf.org/public-resources/publications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http://aflsf.org/fr/public-resources/publications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Steigler</dc:creator>
  <cp:keywords/>
  <cp:lastModifiedBy>N'ZI Gabriel</cp:lastModifiedBy>
  <cp:revision>2</cp:revision>
  <cp:lastPrinted>2018-11-26T12:31:00Z</cp:lastPrinted>
  <dcterms:created xsi:type="dcterms:W3CDTF">2024-04-16T08:31:00Z</dcterms:created>
  <dcterms:modified xsi:type="dcterms:W3CDTF">2024-04-16T08:31:00Z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